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646D3" w14:textId="26D0BDD5" w:rsidR="00392324" w:rsidRDefault="00392324" w:rsidP="00392324">
      <w:pPr>
        <w:spacing w:after="0" w:line="240" w:lineRule="auto"/>
        <w:jc w:val="right"/>
        <w:rPr>
          <w:rFonts w:ascii="Book Antiqua" w:hAnsi="Book Antiqua"/>
          <w:i/>
          <w:sz w:val="18"/>
          <w:szCs w:val="18"/>
        </w:rPr>
      </w:pPr>
      <w:r>
        <w:rPr>
          <w:rFonts w:ascii="Book Antiqua" w:hAnsi="Book Antiqua"/>
          <w:i/>
          <w:sz w:val="18"/>
          <w:szCs w:val="18"/>
        </w:rPr>
        <w:t xml:space="preserve">  </w:t>
      </w:r>
      <w:r w:rsidRPr="00B84DC4">
        <w:rPr>
          <w:rFonts w:ascii="Book Antiqua" w:hAnsi="Book Antiqua"/>
          <w:i/>
          <w:sz w:val="18"/>
          <w:szCs w:val="18"/>
        </w:rPr>
        <w:t>JURNAL BIOLOGICA SAMUDRA 0</w:t>
      </w:r>
      <w:r w:rsidR="00893C56">
        <w:rPr>
          <w:rFonts w:ascii="Book Antiqua" w:hAnsi="Book Antiqua"/>
          <w:i/>
          <w:sz w:val="18"/>
          <w:szCs w:val="18"/>
        </w:rPr>
        <w:t>7</w:t>
      </w:r>
      <w:r w:rsidRPr="00B84DC4">
        <w:rPr>
          <w:rFonts w:ascii="Book Antiqua" w:hAnsi="Book Antiqua"/>
          <w:i/>
          <w:sz w:val="18"/>
          <w:szCs w:val="18"/>
        </w:rPr>
        <w:t xml:space="preserve"> (0</w:t>
      </w:r>
      <w:r w:rsidR="00893C56">
        <w:rPr>
          <w:rFonts w:ascii="Book Antiqua" w:hAnsi="Book Antiqua"/>
          <w:i/>
          <w:sz w:val="18"/>
          <w:szCs w:val="18"/>
        </w:rPr>
        <w:t>2</w:t>
      </w:r>
      <w:r w:rsidRPr="00B84DC4">
        <w:rPr>
          <w:rFonts w:ascii="Book Antiqua" w:hAnsi="Book Antiqua"/>
          <w:i/>
          <w:sz w:val="18"/>
          <w:szCs w:val="18"/>
        </w:rPr>
        <w:t>) :</w:t>
      </w:r>
      <w:r w:rsidR="0010360D">
        <w:rPr>
          <w:rFonts w:ascii="Book Antiqua" w:hAnsi="Book Antiqua"/>
          <w:i/>
          <w:sz w:val="18"/>
          <w:szCs w:val="18"/>
        </w:rPr>
        <w:t>141</w:t>
      </w:r>
      <w:r w:rsidRPr="00B84DC4">
        <w:rPr>
          <w:rFonts w:ascii="Book Antiqua" w:hAnsi="Book Antiqua"/>
          <w:i/>
          <w:sz w:val="18"/>
          <w:szCs w:val="18"/>
        </w:rPr>
        <w:t>-</w:t>
      </w:r>
      <w:r w:rsidR="0010360D">
        <w:rPr>
          <w:rFonts w:ascii="Book Antiqua" w:hAnsi="Book Antiqua"/>
          <w:i/>
          <w:sz w:val="18"/>
          <w:szCs w:val="18"/>
        </w:rPr>
        <w:t>147</w:t>
      </w:r>
      <w:r w:rsidRPr="00B84DC4">
        <w:rPr>
          <w:rFonts w:ascii="Book Antiqua" w:hAnsi="Book Antiqua"/>
          <w:i/>
          <w:sz w:val="18"/>
          <w:szCs w:val="18"/>
        </w:rPr>
        <w:t xml:space="preserve"> (202</w:t>
      </w:r>
      <w:r w:rsidR="00893C56">
        <w:rPr>
          <w:rFonts w:ascii="Book Antiqua" w:hAnsi="Book Antiqua"/>
          <w:i/>
          <w:sz w:val="18"/>
          <w:szCs w:val="18"/>
        </w:rPr>
        <w:t>5</w:t>
      </w:r>
      <w:r w:rsidRPr="00B84DC4">
        <w:rPr>
          <w:rFonts w:ascii="Book Antiqua" w:hAnsi="Book Antiqua"/>
          <w:i/>
          <w:sz w:val="18"/>
          <w:szCs w:val="18"/>
        </w:rPr>
        <w:t>)</w:t>
      </w:r>
    </w:p>
    <w:p w14:paraId="5755B66B" w14:textId="1FB650F5" w:rsidR="000F0842" w:rsidRPr="002218C3" w:rsidRDefault="000F0842" w:rsidP="000F0842">
      <w:pPr>
        <w:spacing w:after="0" w:line="240" w:lineRule="auto"/>
        <w:jc w:val="right"/>
        <w:rPr>
          <w:rFonts w:ascii="Book Antiqua" w:hAnsi="Book Antiqua"/>
          <w:smallCaps/>
          <w:sz w:val="24"/>
          <w:szCs w:val="24"/>
        </w:rPr>
      </w:pPr>
      <w:r w:rsidRPr="00782BA1">
        <w:rPr>
          <w:rFonts w:ascii="Book Antiqua" w:hAnsi="Book Antiqua"/>
          <w:i/>
          <w:sz w:val="18"/>
          <w:szCs w:val="18"/>
        </w:rPr>
        <w:t>DOI. https://doi.org/10.33059/jbs.v7i1.</w:t>
      </w:r>
      <w:r>
        <w:rPr>
          <w:rFonts w:ascii="Book Antiqua" w:hAnsi="Book Antiqua"/>
          <w:i/>
          <w:sz w:val="18"/>
          <w:szCs w:val="18"/>
        </w:rPr>
        <w:t>117</w:t>
      </w:r>
      <w:r w:rsidR="003A0C59">
        <w:rPr>
          <w:rFonts w:ascii="Book Antiqua" w:hAnsi="Book Antiqua"/>
          <w:i/>
          <w:sz w:val="18"/>
          <w:szCs w:val="18"/>
        </w:rPr>
        <w:t>15</w:t>
      </w:r>
    </w:p>
    <w:p w14:paraId="7B57E118" w14:textId="77777777" w:rsidR="00392324" w:rsidRPr="00B84DC4" w:rsidRDefault="00392324" w:rsidP="00392324">
      <w:pPr>
        <w:spacing w:after="0" w:line="240" w:lineRule="auto"/>
        <w:rPr>
          <w:rFonts w:ascii="Book Antiqua" w:hAnsi="Book Antiqua"/>
          <w:smallCaps/>
          <w:sz w:val="24"/>
          <w:szCs w:val="24"/>
        </w:rPr>
      </w:pPr>
    </w:p>
    <w:p w14:paraId="75634AC1" w14:textId="77777777" w:rsidR="00392324" w:rsidRPr="00B84DC4" w:rsidRDefault="00392324" w:rsidP="00392324">
      <w:pPr>
        <w:spacing w:after="0" w:line="240" w:lineRule="auto"/>
        <w:rPr>
          <w:rFonts w:ascii="Book Antiqua" w:hAnsi="Book Antiqua"/>
          <w:smallCaps/>
          <w:sz w:val="24"/>
          <w:szCs w:val="24"/>
        </w:rPr>
      </w:pPr>
    </w:p>
    <w:tbl>
      <w:tblPr>
        <w:tblStyle w:val="TableGrid"/>
        <w:tblW w:w="93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1843"/>
        <w:gridCol w:w="7336"/>
        <w:gridCol w:w="37"/>
      </w:tblGrid>
      <w:tr w:rsidR="00392324" w:rsidRPr="00B84DC4" w14:paraId="02C4E588" w14:textId="77777777" w:rsidTr="00893C56">
        <w:trPr>
          <w:gridAfter w:val="1"/>
          <w:wAfter w:w="37" w:type="dxa"/>
        </w:trPr>
        <w:tc>
          <w:tcPr>
            <w:tcW w:w="1951" w:type="dxa"/>
            <w:gridSpan w:val="2"/>
          </w:tcPr>
          <w:p w14:paraId="7D37C3D2" w14:textId="77777777" w:rsidR="00392324" w:rsidRPr="00B84DC4" w:rsidRDefault="00392324" w:rsidP="00C824F1">
            <w:pPr>
              <w:jc w:val="center"/>
              <w:rPr>
                <w:rFonts w:ascii="Book Antiqua" w:hAnsi="Book Antiqua"/>
              </w:rPr>
            </w:pPr>
            <w:r w:rsidRPr="00B84DC4">
              <w:rPr>
                <w:noProof/>
              </w:rPr>
              <w:drawing>
                <wp:anchor distT="0" distB="0" distL="0" distR="0" simplePos="0" relativeHeight="251659264" behindDoc="0" locked="0" layoutInCell="1" allowOverlap="1" wp14:anchorId="6D9952D2" wp14:editId="2E0B3036">
                  <wp:simplePos x="0" y="0"/>
                  <wp:positionH relativeFrom="column">
                    <wp:posOffset>252094</wp:posOffset>
                  </wp:positionH>
                  <wp:positionV relativeFrom="paragraph">
                    <wp:posOffset>25400</wp:posOffset>
                  </wp:positionV>
                  <wp:extent cx="609600" cy="609600"/>
                  <wp:effectExtent l="0" t="0" r="0" b="0"/>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p>
        </w:tc>
        <w:tc>
          <w:tcPr>
            <w:tcW w:w="7336" w:type="dxa"/>
          </w:tcPr>
          <w:p w14:paraId="5F605D47" w14:textId="5A07217A" w:rsidR="00392324" w:rsidRPr="00B84DC4" w:rsidRDefault="00392324" w:rsidP="00C824F1">
            <w:pPr>
              <w:jc w:val="both"/>
              <w:rPr>
                <w:rFonts w:ascii="Book Antiqua" w:hAnsi="Book Antiqua"/>
                <w:b/>
                <w:sz w:val="28"/>
                <w:szCs w:val="28"/>
              </w:rPr>
            </w:pPr>
            <w:r w:rsidRPr="00B84DC4">
              <w:rPr>
                <w:rFonts w:ascii="Book Antiqua" w:hAnsi="Book Antiqua"/>
                <w:b/>
                <w:sz w:val="28"/>
                <w:szCs w:val="28"/>
              </w:rPr>
              <w:t>Analisis</w:t>
            </w:r>
            <w:r w:rsidR="00AA4789" w:rsidRPr="00B84DC4">
              <w:rPr>
                <w:rFonts w:ascii="Book Antiqua" w:hAnsi="Book Antiqua"/>
                <w:b/>
                <w:sz w:val="28"/>
                <w:szCs w:val="28"/>
              </w:rPr>
              <w:t xml:space="preserve"> </w:t>
            </w:r>
            <w:r w:rsidRPr="00B84DC4">
              <w:rPr>
                <w:rFonts w:ascii="Book Antiqua" w:hAnsi="Book Antiqua"/>
                <w:b/>
                <w:sz w:val="28"/>
                <w:szCs w:val="28"/>
              </w:rPr>
              <w:t>Nitrogen pada Tanaman Legum dan Nonlegum</w:t>
            </w:r>
          </w:p>
          <w:p w14:paraId="0EE74EBA" w14:textId="77777777" w:rsidR="00392324" w:rsidRPr="00B84DC4" w:rsidRDefault="00392324" w:rsidP="00C824F1">
            <w:pPr>
              <w:rPr>
                <w:rFonts w:ascii="Book Antiqua" w:hAnsi="Book Antiqua"/>
                <w:b/>
                <w:sz w:val="28"/>
                <w:szCs w:val="28"/>
              </w:rPr>
            </w:pPr>
          </w:p>
          <w:p w14:paraId="5AC3F88E" w14:textId="77777777" w:rsidR="00392324" w:rsidRPr="00B84DC4" w:rsidRDefault="00392324" w:rsidP="00C824F1">
            <w:pPr>
              <w:rPr>
                <w:rFonts w:ascii="Book Antiqua" w:hAnsi="Book Antiqua"/>
                <w:b/>
                <w:sz w:val="24"/>
                <w:szCs w:val="24"/>
              </w:rPr>
            </w:pPr>
            <w:r w:rsidRPr="00B84DC4">
              <w:rPr>
                <w:rFonts w:ascii="Book Antiqua" w:hAnsi="Book Antiqua"/>
                <w:b/>
                <w:i/>
                <w:sz w:val="28"/>
                <w:szCs w:val="28"/>
              </w:rPr>
              <w:t xml:space="preserve">Nitrogen Analysis in Legume and Nonlegume Plants </w:t>
            </w:r>
          </w:p>
          <w:p w14:paraId="2B234843" w14:textId="77777777" w:rsidR="00392324" w:rsidRPr="00B84DC4" w:rsidRDefault="00392324" w:rsidP="00C824F1">
            <w:pPr>
              <w:rPr>
                <w:rFonts w:ascii="Book Antiqua" w:hAnsi="Book Antiqua"/>
                <w:b/>
                <w:sz w:val="24"/>
                <w:szCs w:val="24"/>
              </w:rPr>
            </w:pPr>
          </w:p>
          <w:p w14:paraId="039802AB" w14:textId="77777777" w:rsidR="00392324" w:rsidRPr="00B84DC4" w:rsidRDefault="00392324" w:rsidP="00B0740A">
            <w:pPr>
              <w:ind w:left="1451"/>
              <w:jc w:val="both"/>
              <w:rPr>
                <w:rFonts w:ascii="Book Antiqua" w:hAnsi="Book Antiqua"/>
                <w:sz w:val="24"/>
                <w:szCs w:val="24"/>
                <w:vertAlign w:val="superscript"/>
              </w:rPr>
            </w:pPr>
            <w:r w:rsidRPr="00B84DC4">
              <w:rPr>
                <w:rFonts w:ascii="Book Antiqua" w:hAnsi="Book Antiqua"/>
                <w:sz w:val="24"/>
                <w:szCs w:val="24"/>
              </w:rPr>
              <w:t>Cut Wulan Angelia</w:t>
            </w:r>
            <w:r w:rsidRPr="00B84DC4">
              <w:rPr>
                <w:rFonts w:ascii="Book Antiqua" w:hAnsi="Book Antiqua"/>
                <w:sz w:val="24"/>
                <w:szCs w:val="24"/>
                <w:vertAlign w:val="superscript"/>
                <w:lang w:val="id-ID"/>
              </w:rPr>
              <w:t>1</w:t>
            </w:r>
            <w:r w:rsidRPr="00B84DC4">
              <w:rPr>
                <w:rFonts w:ascii="Book Antiqua" w:hAnsi="Book Antiqua"/>
                <w:sz w:val="24"/>
                <w:szCs w:val="24"/>
                <w:lang w:val="id-ID"/>
              </w:rPr>
              <w:t>,</w:t>
            </w:r>
            <w:r w:rsidRPr="00B84DC4">
              <w:rPr>
                <w:rFonts w:ascii="Book Antiqua" w:hAnsi="Book Antiqua"/>
                <w:sz w:val="24"/>
                <w:szCs w:val="24"/>
              </w:rPr>
              <w:t xml:space="preserve"> Ruhul Maghfirah</w:t>
            </w:r>
            <w:r w:rsidRPr="00B84DC4">
              <w:rPr>
                <w:rFonts w:ascii="Book Antiqua" w:hAnsi="Book Antiqua"/>
                <w:sz w:val="24"/>
                <w:szCs w:val="24"/>
                <w:vertAlign w:val="superscript"/>
              </w:rPr>
              <w:t>1*</w:t>
            </w:r>
            <w:r w:rsidRPr="00B84DC4">
              <w:rPr>
                <w:rFonts w:ascii="Book Antiqua" w:hAnsi="Book Antiqua"/>
                <w:sz w:val="24"/>
                <w:szCs w:val="24"/>
              </w:rPr>
              <w:t>, Agnia Purnama</w:t>
            </w:r>
            <w:r w:rsidRPr="00B84DC4">
              <w:rPr>
                <w:rFonts w:ascii="Book Antiqua" w:hAnsi="Book Antiqua"/>
                <w:sz w:val="24"/>
                <w:szCs w:val="24"/>
                <w:vertAlign w:val="superscript"/>
              </w:rPr>
              <w:t>1</w:t>
            </w:r>
            <w:r w:rsidRPr="00B84DC4">
              <w:rPr>
                <w:rFonts w:ascii="Book Antiqua" w:hAnsi="Book Antiqua"/>
                <w:sz w:val="24"/>
                <w:szCs w:val="24"/>
              </w:rPr>
              <w:t>, Mutia Farida</w:t>
            </w:r>
            <w:r w:rsidRPr="00B84DC4">
              <w:rPr>
                <w:rFonts w:ascii="Book Antiqua" w:hAnsi="Book Antiqua"/>
                <w:sz w:val="24"/>
                <w:szCs w:val="24"/>
                <w:vertAlign w:val="superscript"/>
              </w:rPr>
              <w:t>1</w:t>
            </w:r>
            <w:r w:rsidRPr="00B84DC4">
              <w:rPr>
                <w:rFonts w:ascii="Book Antiqua" w:hAnsi="Book Antiqua"/>
                <w:sz w:val="24"/>
                <w:szCs w:val="24"/>
              </w:rPr>
              <w:t>, Muhammad Ridho Afifi</w:t>
            </w:r>
            <w:r w:rsidRPr="00B84DC4">
              <w:rPr>
                <w:rFonts w:ascii="Book Antiqua" w:hAnsi="Book Antiqua"/>
                <w:sz w:val="24"/>
                <w:szCs w:val="24"/>
                <w:vertAlign w:val="superscript"/>
              </w:rPr>
              <w:t>1</w:t>
            </w:r>
            <w:r w:rsidRPr="00B84DC4">
              <w:rPr>
                <w:rFonts w:ascii="Book Antiqua" w:hAnsi="Book Antiqua"/>
                <w:sz w:val="24"/>
                <w:szCs w:val="24"/>
              </w:rPr>
              <w:t>, Indri Hastuty Siregar</w:t>
            </w:r>
            <w:r w:rsidRPr="00B84DC4">
              <w:rPr>
                <w:rFonts w:ascii="Book Antiqua" w:hAnsi="Book Antiqua"/>
                <w:sz w:val="24"/>
                <w:szCs w:val="24"/>
                <w:vertAlign w:val="superscript"/>
              </w:rPr>
              <w:t>2</w:t>
            </w:r>
          </w:p>
          <w:p w14:paraId="79AB02CE" w14:textId="77777777" w:rsidR="00392324" w:rsidRPr="00B84DC4" w:rsidRDefault="00392324" w:rsidP="00B0740A">
            <w:pPr>
              <w:ind w:left="1451"/>
              <w:jc w:val="both"/>
              <w:rPr>
                <w:rFonts w:ascii="Book Antiqua" w:hAnsi="Book Antiqua"/>
                <w:sz w:val="24"/>
                <w:szCs w:val="24"/>
                <w14:shadow w14:blurRad="50800" w14:dist="38100" w14:dir="2700000" w14:sx="100000" w14:sy="100000" w14:kx="0" w14:ky="0" w14:algn="tl">
                  <w14:srgbClr w14:val="000000">
                    <w14:alpha w14:val="60001"/>
                  </w14:srgbClr>
                </w14:shadow>
              </w:rPr>
            </w:pPr>
          </w:p>
          <w:p w14:paraId="30978AE1" w14:textId="77777777" w:rsidR="00392324" w:rsidRPr="004E726A" w:rsidRDefault="00392324" w:rsidP="00B0740A">
            <w:pPr>
              <w:pStyle w:val="NoSpacing"/>
              <w:ind w:left="1451"/>
              <w:jc w:val="both"/>
              <w:rPr>
                <w:rFonts w:ascii="Book Antiqua" w:hAnsi="Book Antiqua" w:cs="Times New Roman"/>
                <w:i/>
                <w:sz w:val="20"/>
                <w:szCs w:val="20"/>
                <w:lang w:val="id-ID"/>
              </w:rPr>
            </w:pPr>
            <w:r w:rsidRPr="004E726A">
              <w:rPr>
                <w:rFonts w:ascii="Book Antiqua" w:hAnsi="Book Antiqua" w:cs="Times New Roman"/>
                <w:i/>
                <w:iCs/>
                <w:sz w:val="20"/>
                <w:szCs w:val="20"/>
                <w:vertAlign w:val="superscript"/>
              </w:rPr>
              <w:t>1</w:t>
            </w:r>
            <w:r w:rsidRPr="004E726A">
              <w:rPr>
                <w:rFonts w:ascii="Book Antiqua" w:hAnsi="Book Antiqua" w:cs="Times New Roman"/>
                <w:i/>
                <w:sz w:val="20"/>
                <w:szCs w:val="20"/>
              </w:rPr>
              <w:t>Program Studi Kimia, Fakultas Matematika dan Ilmu Pengetahuan Alam, Universitas Syiah Kuala, Indonesia</w:t>
            </w:r>
          </w:p>
          <w:p w14:paraId="40B79EE6" w14:textId="77777777" w:rsidR="00392324" w:rsidRPr="004E726A" w:rsidRDefault="00392324" w:rsidP="00B0740A">
            <w:pPr>
              <w:pStyle w:val="NoSpacing"/>
              <w:ind w:left="1451"/>
              <w:jc w:val="both"/>
              <w:rPr>
                <w:rFonts w:ascii="Book Antiqua" w:hAnsi="Book Antiqua" w:cs="Times New Roman"/>
                <w:i/>
                <w:sz w:val="20"/>
                <w:szCs w:val="20"/>
              </w:rPr>
            </w:pPr>
            <w:r w:rsidRPr="004E726A">
              <w:rPr>
                <w:rFonts w:ascii="Book Antiqua" w:hAnsi="Book Antiqua" w:cs="Times New Roman"/>
                <w:i/>
                <w:iCs/>
                <w:sz w:val="20"/>
                <w:szCs w:val="20"/>
                <w:vertAlign w:val="superscript"/>
              </w:rPr>
              <w:t>2</w:t>
            </w:r>
            <w:r w:rsidRPr="004E726A">
              <w:rPr>
                <w:rFonts w:ascii="Book Antiqua" w:hAnsi="Book Antiqua" w:cs="Times New Roman"/>
                <w:i/>
                <w:sz w:val="20"/>
                <w:szCs w:val="20"/>
              </w:rPr>
              <w:t>Laboratorium Pengujian Balai Penerapan Standar Instrumen Pertanian</w:t>
            </w:r>
            <w:r w:rsidRPr="004E726A">
              <w:rPr>
                <w:rFonts w:ascii="Book Antiqua" w:hAnsi="Book Antiqua"/>
                <w:i/>
                <w:sz w:val="20"/>
                <w:szCs w:val="20"/>
              </w:rPr>
              <w:t>, Sumatera Utara</w:t>
            </w:r>
            <w:r w:rsidRPr="004E726A">
              <w:rPr>
                <w:rFonts w:ascii="Book Antiqua" w:hAnsi="Book Antiqua"/>
                <w:i/>
                <w:sz w:val="20"/>
                <w:szCs w:val="20"/>
                <w:lang w:val="id-ID"/>
              </w:rPr>
              <w:t>,</w:t>
            </w:r>
            <w:r w:rsidRPr="004E726A">
              <w:rPr>
                <w:rFonts w:ascii="Book Antiqua" w:hAnsi="Book Antiqua"/>
                <w:i/>
                <w:sz w:val="20"/>
                <w:szCs w:val="20"/>
              </w:rPr>
              <w:t xml:space="preserve"> Indonesia</w:t>
            </w:r>
          </w:p>
          <w:p w14:paraId="5F57AA21" w14:textId="77777777" w:rsidR="00392324" w:rsidRPr="00B84DC4" w:rsidRDefault="00392324" w:rsidP="00C824F1">
            <w:pPr>
              <w:pStyle w:val="NoSpacing"/>
              <w:ind w:left="1451"/>
              <w:jc w:val="both"/>
              <w:rPr>
                <w:rFonts w:ascii="Book Antiqua" w:hAnsi="Book Antiqua" w:cs="Times New Roman"/>
                <w:i/>
                <w:sz w:val="16"/>
                <w:szCs w:val="16"/>
              </w:rPr>
            </w:pPr>
          </w:p>
          <w:p w14:paraId="4126A641" w14:textId="77777777" w:rsidR="00392324" w:rsidRPr="00B84DC4" w:rsidRDefault="00392324" w:rsidP="00C824F1">
            <w:pPr>
              <w:pStyle w:val="NoSpacing"/>
              <w:ind w:left="1451"/>
              <w:jc w:val="both"/>
              <w:rPr>
                <w:rFonts w:ascii="Book Antiqua" w:hAnsi="Book Antiqua" w:cs="Times New Roman"/>
                <w:i/>
                <w:sz w:val="16"/>
                <w:szCs w:val="16"/>
              </w:rPr>
            </w:pPr>
          </w:p>
        </w:tc>
      </w:tr>
      <w:tr w:rsidR="00893C56" w:rsidRPr="00B0740A" w14:paraId="6DF2A4EE" w14:textId="77777777" w:rsidTr="00893C56">
        <w:trPr>
          <w:gridBefore w:val="1"/>
          <w:wBefore w:w="108" w:type="dxa"/>
        </w:trPr>
        <w:tc>
          <w:tcPr>
            <w:tcW w:w="9216" w:type="dxa"/>
            <w:gridSpan w:val="3"/>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893C56" w:rsidRPr="00B0740A" w14:paraId="63180488" w14:textId="77777777" w:rsidTr="001B4BE3">
              <w:tc>
                <w:tcPr>
                  <w:tcW w:w="9000" w:type="dxa"/>
                </w:tcPr>
                <w:p w14:paraId="345D4D31" w14:textId="647ED875" w:rsidR="00893C56" w:rsidRPr="00B0740A" w:rsidRDefault="00893C56" w:rsidP="001B4BE3">
                  <w:pPr>
                    <w:ind w:left="-130" w:right="-180"/>
                    <w:rPr>
                      <w:rFonts w:ascii="Book Antiqua" w:hAnsi="Book Antiqua"/>
                      <w:b/>
                      <w:sz w:val="20"/>
                      <w:szCs w:val="20"/>
                    </w:rPr>
                  </w:pPr>
                  <w:r w:rsidRPr="00B0740A">
                    <w:rPr>
                      <w:rFonts w:ascii="Book Antiqua" w:hAnsi="Book Antiqua"/>
                      <w:b/>
                      <w:sz w:val="20"/>
                      <w:szCs w:val="20"/>
                    </w:rPr>
                    <w:t xml:space="preserve">Received: 24 Mei 2025;                 Accepted: </w:t>
                  </w:r>
                  <w:r w:rsidR="00B0740A" w:rsidRPr="00B0740A">
                    <w:rPr>
                      <w:rFonts w:ascii="Book Antiqua" w:hAnsi="Book Antiqua"/>
                      <w:b/>
                      <w:sz w:val="20"/>
                      <w:szCs w:val="20"/>
                    </w:rPr>
                    <w:t>10</w:t>
                  </w:r>
                  <w:r w:rsidRPr="00B0740A">
                    <w:rPr>
                      <w:rFonts w:ascii="Book Antiqua" w:hAnsi="Book Antiqua"/>
                      <w:b/>
                      <w:sz w:val="20"/>
                      <w:szCs w:val="20"/>
                    </w:rPr>
                    <w:t xml:space="preserve"> Desember 2025;                Published: </w:t>
                  </w:r>
                  <w:r w:rsidR="00B0740A" w:rsidRPr="00B0740A">
                    <w:rPr>
                      <w:rFonts w:ascii="Book Antiqua" w:hAnsi="Book Antiqua"/>
                      <w:b/>
                      <w:sz w:val="20"/>
                      <w:szCs w:val="20"/>
                    </w:rPr>
                    <w:t>15</w:t>
                  </w:r>
                  <w:r w:rsidRPr="00B0740A">
                    <w:rPr>
                      <w:rFonts w:ascii="Book Antiqua" w:hAnsi="Book Antiqua"/>
                      <w:b/>
                      <w:sz w:val="20"/>
                      <w:szCs w:val="20"/>
                    </w:rPr>
                    <w:t xml:space="preserve"> Desember 2025</w:t>
                  </w:r>
                </w:p>
                <w:p w14:paraId="7A672C36" w14:textId="77777777" w:rsidR="00893C56" w:rsidRPr="00B0740A" w:rsidRDefault="00893C56" w:rsidP="001B4BE3">
                  <w:pPr>
                    <w:rPr>
                      <w:rFonts w:ascii="Book Antiqua" w:hAnsi="Book Antiqua"/>
                      <w:b/>
                      <w:sz w:val="16"/>
                      <w:szCs w:val="16"/>
                    </w:rPr>
                  </w:pPr>
                </w:p>
              </w:tc>
            </w:tr>
          </w:tbl>
          <w:p w14:paraId="2B72CB6B" w14:textId="77777777" w:rsidR="00893C56" w:rsidRPr="00B0740A" w:rsidRDefault="00893C56" w:rsidP="001B4BE3">
            <w:pPr>
              <w:rPr>
                <w:rFonts w:ascii="Book Antiqua" w:hAnsi="Book Antiqua"/>
                <w:b/>
                <w:sz w:val="28"/>
                <w:szCs w:val="28"/>
              </w:rPr>
            </w:pPr>
          </w:p>
        </w:tc>
      </w:tr>
      <w:tr w:rsidR="00392324" w:rsidRPr="00B84DC4" w14:paraId="4BC821EC" w14:textId="77777777" w:rsidTr="00893C56">
        <w:trPr>
          <w:gridAfter w:val="1"/>
          <w:wAfter w:w="37" w:type="dxa"/>
        </w:trPr>
        <w:tc>
          <w:tcPr>
            <w:tcW w:w="1951" w:type="dxa"/>
            <w:gridSpan w:val="2"/>
          </w:tcPr>
          <w:p w14:paraId="56A644AF" w14:textId="77777777" w:rsidR="00392324" w:rsidRPr="00B84DC4" w:rsidRDefault="00392324" w:rsidP="00C824F1">
            <w:pPr>
              <w:rPr>
                <w:rFonts w:ascii="Book Antiqua" w:hAnsi="Book Antiqua"/>
                <w:i/>
              </w:rPr>
            </w:pPr>
            <w:r w:rsidRPr="00B84DC4">
              <w:rPr>
                <w:rFonts w:ascii="Book Antiqua" w:hAnsi="Book Antiqua"/>
                <w:i/>
              </w:rPr>
              <w:t>KATA KUNCI</w:t>
            </w:r>
          </w:p>
          <w:p w14:paraId="43A5C2D8" w14:textId="77777777" w:rsidR="00392324" w:rsidRPr="00B84DC4" w:rsidRDefault="00392324" w:rsidP="00C824F1">
            <w:pPr>
              <w:rPr>
                <w:rFonts w:ascii="Book Antiqua" w:hAnsi="Book Antiqua"/>
                <w:i/>
              </w:rPr>
            </w:pPr>
            <w:r w:rsidRPr="00B84DC4">
              <w:rPr>
                <w:rFonts w:ascii="Book Antiqua" w:hAnsi="Book Antiqua"/>
                <w:i/>
              </w:rPr>
              <w:t>KEYWORDS</w:t>
            </w:r>
          </w:p>
          <w:p w14:paraId="4930BE12" w14:textId="77777777" w:rsidR="00392324" w:rsidRPr="00B84DC4" w:rsidRDefault="00392324" w:rsidP="00C824F1">
            <w:pPr>
              <w:rPr>
                <w:rFonts w:ascii="Book Antiqua" w:hAnsi="Book Antiqua"/>
                <w:i/>
              </w:rPr>
            </w:pPr>
          </w:p>
          <w:p w14:paraId="6DF89E10" w14:textId="77777777" w:rsidR="00392324" w:rsidRPr="00B84DC4" w:rsidRDefault="00392324" w:rsidP="00C824F1">
            <w:pPr>
              <w:rPr>
                <w:rFonts w:ascii="Book Antiqua" w:hAnsi="Book Antiqua"/>
                <w:i/>
              </w:rPr>
            </w:pPr>
            <w:r w:rsidRPr="00B84DC4">
              <w:rPr>
                <w:rFonts w:ascii="Book Antiqua" w:hAnsi="Book Antiqua"/>
                <w:i/>
              </w:rPr>
              <w:t>ABSTRAK</w:t>
            </w:r>
          </w:p>
        </w:tc>
        <w:tc>
          <w:tcPr>
            <w:tcW w:w="7336" w:type="dxa"/>
          </w:tcPr>
          <w:p w14:paraId="75D4D0BB" w14:textId="77777777" w:rsidR="00392324" w:rsidRPr="00B84DC4" w:rsidRDefault="00392324" w:rsidP="00C824F1">
            <w:pPr>
              <w:ind w:right="849"/>
              <w:rPr>
                <w:rFonts w:ascii="Book Antiqua" w:hAnsi="Book Antiqua"/>
                <w:i/>
              </w:rPr>
            </w:pPr>
            <w:r w:rsidRPr="00B84DC4">
              <w:rPr>
                <w:rFonts w:ascii="Book Antiqua" w:hAnsi="Book Antiqua"/>
                <w:i/>
              </w:rPr>
              <w:t>Nitrogen, Leguminosae, Rhizobium</w:t>
            </w:r>
          </w:p>
          <w:p w14:paraId="00589F22" w14:textId="77777777" w:rsidR="00392324" w:rsidRPr="00B84DC4" w:rsidRDefault="00392324" w:rsidP="00C824F1">
            <w:pPr>
              <w:ind w:right="849"/>
              <w:rPr>
                <w:rFonts w:ascii="Book Antiqua" w:hAnsi="Book Antiqua"/>
                <w:i/>
              </w:rPr>
            </w:pPr>
            <w:r w:rsidRPr="00B84DC4">
              <w:rPr>
                <w:rFonts w:ascii="Book Antiqua" w:hAnsi="Book Antiqua"/>
                <w:i/>
              </w:rPr>
              <w:t>Nitrogen, Legumes, Rhizobium</w:t>
            </w:r>
          </w:p>
          <w:p w14:paraId="62DD7EF1" w14:textId="77777777" w:rsidR="00392324" w:rsidRPr="00B84DC4" w:rsidRDefault="00392324" w:rsidP="00C824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849"/>
              <w:jc w:val="both"/>
              <w:rPr>
                <w:rFonts w:ascii="Book Antiqua" w:hAnsi="Book Antiqua"/>
                <w:i/>
                <w:lang w:val="en-US"/>
              </w:rPr>
            </w:pPr>
            <w:r w:rsidRPr="00B84DC4">
              <w:rPr>
                <w:rFonts w:ascii="Book Antiqua" w:hAnsi="Book Antiqua"/>
                <w:i/>
                <w:lang w:val="en-US"/>
              </w:rPr>
              <w:tab/>
            </w:r>
          </w:p>
          <w:p w14:paraId="665BC81B" w14:textId="04948F73" w:rsidR="00392324" w:rsidRPr="00B84DC4" w:rsidRDefault="00A54D88" w:rsidP="00C824F1">
            <w:pPr>
              <w:pStyle w:val="HTMLPreformatted"/>
              <w:ind w:right="-1"/>
              <w:jc w:val="both"/>
              <w:rPr>
                <w:rFonts w:ascii="Book Antiqua" w:hAnsi="Book Antiqua"/>
                <w:lang w:val="en-US"/>
              </w:rPr>
            </w:pPr>
            <w:r w:rsidRPr="00B84DC4">
              <w:rPr>
                <w:rFonts w:ascii="Book Antiqua" w:hAnsi="Book Antiqua"/>
                <w:lang w:val="en-US"/>
              </w:rPr>
              <w:t>Nitrogen, sebagai unsur hara makro, sangat penting untuk pertumbuhan tanaman. Baik pupuk biologis maupun anorganik dapat digunakan untuk memperoleh nitrogen. Bakteri Rhizobium, yang unik untuk tanaman polong-polongan, mengikat nitrogen secara alami, memungkinkan tanaman untuk memperoleh nitrogen.</w:t>
            </w:r>
            <w:r w:rsidR="00AA4789" w:rsidRPr="00B84DC4">
              <w:rPr>
                <w:rFonts w:ascii="Book Antiqua" w:hAnsi="Book Antiqua"/>
                <w:lang w:val="en-US"/>
              </w:rPr>
              <w:t>Penelitian ini bertujuan mengevaluasi perbandingan kadar nitrogen yang diperoleh dari tanaman legum dan nonlegum. Metode yang digunakan adalah metode Kjeldahl untuk mengukur kadar nitrogen total pada tanaman kacang tanah (</w:t>
            </w:r>
            <w:r w:rsidR="00AA4789" w:rsidRPr="00B84DC4">
              <w:rPr>
                <w:rFonts w:ascii="Book Antiqua" w:hAnsi="Book Antiqua"/>
                <w:i/>
                <w:iCs/>
                <w:lang w:val="en-US"/>
              </w:rPr>
              <w:t>Arachis hypogaea</w:t>
            </w:r>
            <w:r w:rsidR="00AA4789" w:rsidRPr="00B84DC4">
              <w:rPr>
                <w:rFonts w:ascii="Book Antiqua" w:hAnsi="Book Antiqua"/>
                <w:lang w:val="en-US"/>
              </w:rPr>
              <w:t xml:space="preserve"> L.), bunga telang (</w:t>
            </w:r>
            <w:r w:rsidR="00AA4789" w:rsidRPr="00B84DC4">
              <w:rPr>
                <w:rFonts w:ascii="Book Antiqua" w:hAnsi="Book Antiqua"/>
                <w:i/>
                <w:iCs/>
                <w:lang w:val="en-US"/>
              </w:rPr>
              <w:t>Clitoria ternatea</w:t>
            </w:r>
            <w:r w:rsidR="00AA4789" w:rsidRPr="00B84DC4">
              <w:rPr>
                <w:rFonts w:ascii="Book Antiqua" w:hAnsi="Book Antiqua"/>
                <w:lang w:val="en-US"/>
              </w:rPr>
              <w:t xml:space="preserve"> L.), dan jagung (</w:t>
            </w:r>
            <w:r w:rsidR="00AA4789" w:rsidRPr="00B84DC4">
              <w:rPr>
                <w:rFonts w:ascii="Book Antiqua" w:hAnsi="Book Antiqua"/>
                <w:i/>
                <w:iCs/>
                <w:lang w:val="en-US"/>
              </w:rPr>
              <w:t>Zea mays</w:t>
            </w:r>
            <w:r w:rsidR="00AA4789" w:rsidRPr="00B84DC4">
              <w:rPr>
                <w:rFonts w:ascii="Book Antiqua" w:hAnsi="Book Antiqua"/>
                <w:lang w:val="en-US"/>
              </w:rPr>
              <w:t>). Hasil penelitian menunjukkan bahwa kadar nitrogen pada tanaman legum, yakni kacang tanah dan bunga telang, lebih tinggi dibandingkan kadar nitrogen pada tanaman nonlegum, yaitu jagung, dengan nilai masing-masing 6,82%; 5,06%; dan 4,42%. Oleh karena itu, dapat disimpulkan bahwa tanaman legum memiliki kapasitas penyerapan nitrogen yang lebih tinggi karena adanya fiksasi biologis pada bintil akar, sehingga berpotensi dimanfaatkan sebagai sumber nitrogen alami untuk meningkatkan kesuburan tanah.</w:t>
            </w:r>
          </w:p>
          <w:p w14:paraId="6A1892E4" w14:textId="77777777" w:rsidR="00392324" w:rsidRPr="00B84DC4" w:rsidRDefault="00392324" w:rsidP="00C824F1">
            <w:pPr>
              <w:pStyle w:val="HTMLPreformatted"/>
              <w:ind w:right="-1"/>
              <w:jc w:val="both"/>
              <w:rPr>
                <w:rFonts w:ascii="Book Antiqua" w:hAnsi="Book Antiqua"/>
                <w:i/>
                <w:lang w:val="en-US"/>
              </w:rPr>
            </w:pPr>
          </w:p>
        </w:tc>
      </w:tr>
      <w:tr w:rsidR="00392324" w:rsidRPr="00B84DC4" w14:paraId="0718A10E" w14:textId="77777777" w:rsidTr="00893C56">
        <w:trPr>
          <w:gridAfter w:val="1"/>
          <w:wAfter w:w="37" w:type="dxa"/>
        </w:trPr>
        <w:tc>
          <w:tcPr>
            <w:tcW w:w="1951" w:type="dxa"/>
            <w:gridSpan w:val="2"/>
          </w:tcPr>
          <w:p w14:paraId="57CA468E" w14:textId="77777777" w:rsidR="00392324" w:rsidRPr="00B84DC4" w:rsidRDefault="00392324" w:rsidP="00C824F1">
            <w:pPr>
              <w:pStyle w:val="HTMLPreformatted"/>
              <w:tabs>
                <w:tab w:val="clear" w:pos="916"/>
              </w:tabs>
              <w:jc w:val="both"/>
              <w:rPr>
                <w:rFonts w:ascii="Book Antiqua" w:hAnsi="Book Antiqua" w:cs="Georgia"/>
                <w:color w:val="000000"/>
                <w:sz w:val="22"/>
                <w:szCs w:val="22"/>
                <w:lang w:val="en-US"/>
              </w:rPr>
            </w:pPr>
            <w:r w:rsidRPr="00B84DC4">
              <w:rPr>
                <w:rFonts w:ascii="Book Antiqua" w:hAnsi="Book Antiqua"/>
                <w:i/>
                <w:sz w:val="22"/>
                <w:szCs w:val="22"/>
              </w:rPr>
              <w:t>ABSTRACT</w:t>
            </w:r>
          </w:p>
        </w:tc>
        <w:tc>
          <w:tcPr>
            <w:tcW w:w="7336" w:type="dxa"/>
          </w:tcPr>
          <w:p w14:paraId="06019E0A" w14:textId="32967557" w:rsidR="00392324" w:rsidRPr="00B84DC4" w:rsidRDefault="00AA4789" w:rsidP="00C824F1">
            <w:pPr>
              <w:pStyle w:val="HTMLPreformatted"/>
              <w:tabs>
                <w:tab w:val="clear" w:pos="916"/>
              </w:tabs>
              <w:jc w:val="both"/>
              <w:rPr>
                <w:rFonts w:ascii="Book Antiqua" w:hAnsi="Book Antiqua" w:cs="Georgia"/>
                <w:color w:val="000000"/>
                <w:sz w:val="24"/>
                <w:szCs w:val="24"/>
                <w:lang w:val="en-US"/>
              </w:rPr>
            </w:pPr>
            <w:r w:rsidRPr="00B84DC4">
              <w:rPr>
                <w:rFonts w:ascii="Book Antiqua" w:eastAsia="Calibri" w:hAnsi="Book Antiqua" w:cs="Times New Roman"/>
                <w:i/>
                <w:color w:val="000000"/>
                <w:lang w:val="en-US" w:eastAsia="en-US"/>
              </w:rPr>
              <w:t xml:space="preserve">Nitrogen is one of the essential macronutrients required by plants. It can be obtained from both organic and inorganic fertilizers. Naturally, plants acquire nitrogen through the nitrogen-fixation process carried out by </w:t>
            </w:r>
            <w:r w:rsidRPr="00B84DC4">
              <w:rPr>
                <w:rFonts w:ascii="Book Antiqua" w:eastAsia="Calibri" w:hAnsi="Book Antiqua" w:cs="Times New Roman"/>
                <w:i/>
                <w:iCs/>
                <w:color w:val="000000"/>
                <w:lang w:val="en-US" w:eastAsia="en-US"/>
              </w:rPr>
              <w:t>Rhizobium</w:t>
            </w:r>
            <w:r w:rsidRPr="00B84DC4">
              <w:rPr>
                <w:rFonts w:ascii="Book Antiqua" w:eastAsia="Calibri" w:hAnsi="Book Antiqua" w:cs="Times New Roman"/>
                <w:i/>
                <w:color w:val="000000"/>
                <w:lang w:val="en-US" w:eastAsia="en-US"/>
              </w:rPr>
              <w:t xml:space="preserve"> bacteria, which occurs exclusively in leguminous plants. This study aims to evaluate the differences in nitrogen content between legume and non-legume plants. The Kjeldahl method was used to measure total nitrogen in peanut (</w:t>
            </w:r>
            <w:r w:rsidRPr="00B84DC4">
              <w:rPr>
                <w:rFonts w:ascii="Book Antiqua" w:eastAsia="Calibri" w:hAnsi="Book Antiqua" w:cs="Times New Roman"/>
                <w:i/>
                <w:iCs/>
                <w:color w:val="000000"/>
                <w:lang w:val="en-US" w:eastAsia="en-US"/>
              </w:rPr>
              <w:t>Arachis hypogaea</w:t>
            </w:r>
            <w:r w:rsidRPr="00B84DC4">
              <w:rPr>
                <w:rFonts w:ascii="Book Antiqua" w:eastAsia="Calibri" w:hAnsi="Book Antiqua" w:cs="Times New Roman"/>
                <w:i/>
                <w:color w:val="000000"/>
                <w:lang w:val="en-US" w:eastAsia="en-US"/>
              </w:rPr>
              <w:t xml:space="preserve"> L.), butterfly pea (</w:t>
            </w:r>
            <w:r w:rsidRPr="00B84DC4">
              <w:rPr>
                <w:rFonts w:ascii="Book Antiqua" w:eastAsia="Calibri" w:hAnsi="Book Antiqua" w:cs="Times New Roman"/>
                <w:i/>
                <w:iCs/>
                <w:color w:val="000000"/>
                <w:lang w:val="en-US" w:eastAsia="en-US"/>
              </w:rPr>
              <w:t>Clitoria ternatea</w:t>
            </w:r>
            <w:r w:rsidRPr="00B84DC4">
              <w:rPr>
                <w:rFonts w:ascii="Book Antiqua" w:eastAsia="Calibri" w:hAnsi="Book Antiqua" w:cs="Times New Roman"/>
                <w:i/>
                <w:color w:val="000000"/>
                <w:lang w:val="en-US" w:eastAsia="en-US"/>
              </w:rPr>
              <w:t xml:space="preserve"> L.), and maize (</w:t>
            </w:r>
            <w:r w:rsidRPr="00B84DC4">
              <w:rPr>
                <w:rFonts w:ascii="Book Antiqua" w:eastAsia="Calibri" w:hAnsi="Book Antiqua" w:cs="Times New Roman"/>
                <w:i/>
                <w:iCs/>
                <w:color w:val="000000"/>
                <w:lang w:val="en-US" w:eastAsia="en-US"/>
              </w:rPr>
              <w:t>Zea mays</w:t>
            </w:r>
            <w:r w:rsidRPr="00B84DC4">
              <w:rPr>
                <w:rFonts w:ascii="Book Antiqua" w:eastAsia="Calibri" w:hAnsi="Book Antiqua" w:cs="Times New Roman"/>
                <w:i/>
                <w:color w:val="000000"/>
                <w:lang w:val="en-US" w:eastAsia="en-US"/>
              </w:rPr>
              <w:t>). The results showed that legume plants—peanut and butterfly pea—contained higher nitrogen levels than the non-legume plant, maize, with values of 6.82%, 5.06%, and 4.42%, respectively. Therefore, it can be concluded that legume plants have a greater capacity for nitrogen uptake due to biological fixation in their root nodules, making them a potential natural nitrogen source for improving soil fertility.</w:t>
            </w:r>
          </w:p>
        </w:tc>
      </w:tr>
    </w:tbl>
    <w:p w14:paraId="56E74B22" w14:textId="77777777" w:rsidR="00392324" w:rsidRPr="00B84DC4" w:rsidRDefault="00392324" w:rsidP="00392324">
      <w:pPr>
        <w:spacing w:after="0"/>
        <w:jc w:val="both"/>
        <w:sectPr w:rsidR="00392324" w:rsidRPr="00B84DC4" w:rsidSect="0010360D">
          <w:footerReference w:type="default" r:id="rId8"/>
          <w:pgSz w:w="11907" w:h="16839" w:code="9"/>
          <w:pgMar w:top="1418" w:right="1418" w:bottom="1418" w:left="1418" w:header="708" w:footer="708" w:gutter="0"/>
          <w:pgNumType w:start="141"/>
          <w:cols w:space="708"/>
          <w:docGrid w:linePitch="360"/>
        </w:sectPr>
      </w:pPr>
    </w:p>
    <w:p w14:paraId="023A4846" w14:textId="77777777" w:rsidR="00392324" w:rsidRPr="00B84DC4" w:rsidRDefault="00392324" w:rsidP="00392324">
      <w:pPr>
        <w:spacing w:after="0"/>
        <w:jc w:val="both"/>
        <w:rPr>
          <w:rFonts w:ascii="Book Antiqua" w:hAnsi="Book Antiqua"/>
          <w:sz w:val="24"/>
          <w:szCs w:val="24"/>
          <w:lang w:val="de-DE"/>
        </w:rPr>
      </w:pPr>
    </w:p>
    <w:tbl>
      <w:tblPr>
        <w:tblStyle w:val="TableGrid"/>
        <w:tblW w:w="3903" w:type="dxa"/>
        <w:tblInd w:w="5353" w:type="dxa"/>
        <w:tblLook w:val="04A0" w:firstRow="1" w:lastRow="0" w:firstColumn="1" w:lastColumn="0" w:noHBand="0" w:noVBand="1"/>
      </w:tblPr>
      <w:tblGrid>
        <w:gridCol w:w="3903"/>
      </w:tblGrid>
      <w:tr w:rsidR="00392324" w:rsidRPr="00B84DC4" w14:paraId="26F20F04" w14:textId="77777777" w:rsidTr="00C824F1">
        <w:trPr>
          <w:trHeight w:val="447"/>
        </w:trPr>
        <w:tc>
          <w:tcPr>
            <w:tcW w:w="3903" w:type="dxa"/>
          </w:tcPr>
          <w:p w14:paraId="10F34EA5" w14:textId="77777777" w:rsidR="00392324" w:rsidRPr="00B84DC4" w:rsidRDefault="00392324" w:rsidP="00C824F1">
            <w:pPr>
              <w:pStyle w:val="HTMLPreformatted"/>
              <w:tabs>
                <w:tab w:val="clear" w:pos="916"/>
              </w:tabs>
              <w:jc w:val="both"/>
              <w:rPr>
                <w:rFonts w:ascii="Book Antiqua" w:hAnsi="Book Antiqua" w:cs="Georgia"/>
                <w:i/>
                <w:color w:val="000000"/>
                <w:sz w:val="18"/>
                <w:szCs w:val="18"/>
                <w:lang w:val="en-US"/>
              </w:rPr>
            </w:pPr>
            <w:r w:rsidRPr="00B84DC4">
              <w:rPr>
                <w:rFonts w:ascii="Book Antiqua" w:hAnsi="Book Antiqua" w:cs="Georgia"/>
                <w:i/>
                <w:color w:val="000000"/>
                <w:sz w:val="18"/>
                <w:szCs w:val="18"/>
                <w:lang w:val="en-US"/>
              </w:rPr>
              <w:t>Correspondence:</w:t>
            </w:r>
          </w:p>
          <w:p w14:paraId="611CBFAC" w14:textId="68630750" w:rsidR="00392324" w:rsidRPr="00B84DC4" w:rsidRDefault="00392324" w:rsidP="00685E82">
            <w:pPr>
              <w:tabs>
                <w:tab w:val="right" w:pos="3687"/>
              </w:tabs>
              <w:jc w:val="both"/>
              <w:rPr>
                <w:rFonts w:ascii="Book Antiqua" w:hAnsi="Book Antiqua"/>
              </w:rPr>
            </w:pPr>
            <w:r w:rsidRPr="00B84DC4">
              <w:rPr>
                <w:rFonts w:ascii="Book Antiqua" w:hAnsi="Book Antiqua"/>
                <w:i/>
                <w:sz w:val="18"/>
                <w:szCs w:val="18"/>
              </w:rPr>
              <w:t xml:space="preserve">Email: </w:t>
            </w:r>
            <w:hyperlink r:id="rId9" w:history="1">
              <w:r w:rsidRPr="00B84DC4">
                <w:rPr>
                  <w:rStyle w:val="Hyperlink"/>
                  <w:rFonts w:ascii="Book Antiqua" w:hAnsi="Book Antiqua" w:cs="Times New Roman"/>
                  <w:i/>
                  <w:sz w:val="18"/>
                  <w:szCs w:val="18"/>
                  <w:lang w:val="en-GB"/>
                </w:rPr>
                <w:t>ruhul.maghfirah@usk.ac.id</w:t>
              </w:r>
            </w:hyperlink>
            <w:r w:rsidR="00685E82">
              <w:tab/>
            </w:r>
          </w:p>
        </w:tc>
      </w:tr>
    </w:tbl>
    <w:p w14:paraId="6322F6FC" w14:textId="53E12153" w:rsidR="00392324" w:rsidRPr="00B84DC4" w:rsidRDefault="00392324" w:rsidP="00392324">
      <w:pPr>
        <w:pStyle w:val="ListParagraph"/>
        <w:numPr>
          <w:ilvl w:val="0"/>
          <w:numId w:val="1"/>
        </w:numPr>
        <w:spacing w:after="240"/>
        <w:ind w:left="284" w:hanging="284"/>
        <w:jc w:val="both"/>
        <w:rPr>
          <w:rFonts w:ascii="Book Antiqua" w:hAnsi="Book Antiqua"/>
          <w:b/>
          <w:bCs/>
          <w:lang w:val="de-DE"/>
        </w:rPr>
      </w:pPr>
      <w:r w:rsidRPr="00B84DC4">
        <w:rPr>
          <w:rFonts w:ascii="Book Antiqua" w:hAnsi="Book Antiqua"/>
          <w:b/>
          <w:bCs/>
          <w:lang w:val="de-DE"/>
        </w:rPr>
        <w:lastRenderedPageBreak/>
        <w:t>Pendahuluan</w:t>
      </w:r>
      <w:r w:rsidR="00914735" w:rsidRPr="00B84DC4">
        <w:rPr>
          <w:rFonts w:ascii="Book Antiqua" w:hAnsi="Book Antiqua"/>
          <w:b/>
          <w:bCs/>
          <w:lang w:val="de-DE"/>
        </w:rPr>
        <w:t xml:space="preserve"> </w:t>
      </w:r>
    </w:p>
    <w:p w14:paraId="3794C94B" w14:textId="77777777" w:rsidR="00B84DC4" w:rsidRPr="00B84DC4" w:rsidRDefault="00B84DC4" w:rsidP="00B84DC4">
      <w:pPr>
        <w:spacing w:after="0"/>
        <w:ind w:firstLine="709"/>
        <w:jc w:val="both"/>
        <w:rPr>
          <w:rFonts w:ascii="Book Antiqua" w:hAnsi="Book Antiqua"/>
          <w:sz w:val="24"/>
          <w:szCs w:val="24"/>
        </w:rPr>
      </w:pPr>
      <w:r w:rsidRPr="00B84DC4">
        <w:rPr>
          <w:rFonts w:ascii="Book Antiqua" w:hAnsi="Book Antiqua"/>
          <w:sz w:val="24"/>
          <w:szCs w:val="24"/>
        </w:rPr>
        <w:t>Blok pembangun protein, klorofil, asam nukleat, dan protoplasma semuanya mengandung nitrogen, makronutrien yang harus dimiliki tanaman (Suryanti dkk., 2024). Yi dkk. (2021) dan Zhang dkk. (2021) menemukan bahwa pupuk anorganik dan pupuk organik sama-sama menyediakan nitrogen dalam jumlah besar. Penurunan hasil pertanian merupakan konsekuensi dari defisit nitrogen, yang menghambat pertumbuhan dan perkembangan tanaman dengan menghalangi pembentukan klorofil, pigmen yang diperlukan untuk fotosintesis (Julia dkk., 2023). Bakteri Rhizobium, yang menghuni bintil akar tanaman legum, dapat memfiksasi gas nitrogen atmosfer (N2), sumber nitrogen lainnya. Tanaman dari famili legum, yang dikenal sebagai tanaman leguminosa, memiliki kemampuan khusus untuk memfiksasi nitrogen atmosfer dengan membentuk asosiasi simbiosis dengan bakteri Rhizobium. Bakteri Rhizobium menyebabkan fiksasi nitrogen pada legum dengan membentuk bintil pada akarnya. Tanaman polong-polongan terus mengembangkan bintil akar seiring pertumbuhannya, yang meningkatkan kapasitasnya untuk mengikat nitrogen atmosfer (Darma dkk., 2022).</w:t>
      </w:r>
    </w:p>
    <w:p w14:paraId="4F4E85DA" w14:textId="77F8BA9A" w:rsidR="00A73FF5" w:rsidRPr="00B84DC4" w:rsidRDefault="00B84DC4" w:rsidP="00B84DC4">
      <w:pPr>
        <w:spacing w:after="0"/>
        <w:ind w:firstLine="709"/>
        <w:jc w:val="both"/>
        <w:rPr>
          <w:rFonts w:ascii="Book Antiqua" w:hAnsi="Book Antiqua"/>
          <w:sz w:val="24"/>
          <w:szCs w:val="24"/>
        </w:rPr>
      </w:pPr>
      <w:r w:rsidRPr="00B84DC4">
        <w:rPr>
          <w:rFonts w:ascii="Book Antiqua" w:hAnsi="Book Antiqua"/>
          <w:sz w:val="24"/>
          <w:szCs w:val="24"/>
        </w:rPr>
        <w:t xml:space="preserve">Agar tanaman dapat tumbuh dan berkembang, mereka membutuhkan senyawa nitrogen, dan bakteri rhizobium mampu mengikat nitrogen atmosfer dan mengubahnya menjadi amonia (NH3) (Wheatley, 2020). (Robifahmi dkk., 2023). Bakteri seperti ini bermanfaat karena dapat membentuk hubungan simbiosis dengan tanaman penghasil polong-polongan. Ketika bakteri ini terhubung ke akar tanaman polong-polongan, mereka menciptakan bintil akar yang menampung bakteri pengikat nitrogen. </w:t>
      </w:r>
      <w:r w:rsidR="00392324" w:rsidRPr="00B84DC4">
        <w:rPr>
          <w:rFonts w:ascii="Book Antiqua" w:hAnsi="Book Antiqua"/>
          <w:sz w:val="24"/>
          <w:szCs w:val="24"/>
        </w:rPr>
        <w:t xml:space="preserve">(Saraswati &amp; Syahril, 2022) Kehadiran bakteri </w:t>
      </w:r>
      <w:r w:rsidR="00392324" w:rsidRPr="00B84DC4">
        <w:rPr>
          <w:rFonts w:ascii="Book Antiqua" w:hAnsi="Book Antiqua"/>
          <w:i/>
          <w:sz w:val="24"/>
          <w:szCs w:val="24"/>
        </w:rPr>
        <w:t>Rhizobium</w:t>
      </w:r>
      <w:r w:rsidR="00392324" w:rsidRPr="00B84DC4">
        <w:rPr>
          <w:rFonts w:ascii="Book Antiqua" w:hAnsi="Book Antiqua"/>
          <w:sz w:val="24"/>
          <w:szCs w:val="24"/>
        </w:rPr>
        <w:t xml:space="preserve"> memungkinkan tanaman untuk menambat gas N</w:t>
      </w:r>
      <w:r w:rsidR="00392324" w:rsidRPr="00B84DC4">
        <w:rPr>
          <w:rFonts w:ascii="Book Antiqua" w:hAnsi="Book Antiqua"/>
          <w:sz w:val="24"/>
          <w:szCs w:val="24"/>
          <w:vertAlign w:val="subscript"/>
        </w:rPr>
        <w:t xml:space="preserve">2 </w:t>
      </w:r>
      <w:r w:rsidR="00392324" w:rsidRPr="00B84DC4">
        <w:rPr>
          <w:rFonts w:ascii="Book Antiqua" w:hAnsi="Book Antiqua"/>
          <w:sz w:val="24"/>
          <w:szCs w:val="24"/>
        </w:rPr>
        <w:t xml:space="preserve">dari udara, yang kemudian diserap dan dimanfaatkan oleh tanaman. Proses ini terjadi melalui simbiosis mutualisme antara </w:t>
      </w:r>
      <w:r w:rsidR="00392324" w:rsidRPr="00B84DC4">
        <w:rPr>
          <w:rFonts w:ascii="Book Antiqua" w:hAnsi="Book Antiqua"/>
          <w:i/>
          <w:sz w:val="24"/>
          <w:szCs w:val="24"/>
        </w:rPr>
        <w:t>Rhizobium</w:t>
      </w:r>
      <w:r w:rsidR="00392324" w:rsidRPr="00B84DC4">
        <w:rPr>
          <w:rFonts w:ascii="Book Antiqua" w:hAnsi="Book Antiqua"/>
          <w:sz w:val="24"/>
          <w:szCs w:val="24"/>
        </w:rPr>
        <w:t xml:space="preserve"> dan akar tanaman (</w:t>
      </w:r>
      <w:r w:rsidR="00392324" w:rsidRPr="00B84DC4">
        <w:rPr>
          <w:rFonts w:ascii="Book Antiqua" w:hAnsi="Book Antiqua"/>
          <w:color w:val="222222"/>
          <w:sz w:val="24"/>
          <w:szCs w:val="24"/>
          <w:shd w:val="clear" w:color="auto" w:fill="FFFFFF"/>
        </w:rPr>
        <w:t xml:space="preserve">Pabela </w:t>
      </w:r>
      <w:r w:rsidR="00392324" w:rsidRPr="00B84DC4">
        <w:rPr>
          <w:rFonts w:ascii="Book Antiqua" w:hAnsi="Book Antiqua"/>
          <w:i/>
          <w:color w:val="222222"/>
          <w:sz w:val="24"/>
          <w:szCs w:val="24"/>
          <w:shd w:val="clear" w:color="auto" w:fill="FFFFFF"/>
        </w:rPr>
        <w:t>et al</w:t>
      </w:r>
      <w:r w:rsidR="00392324" w:rsidRPr="00B84DC4">
        <w:rPr>
          <w:rFonts w:ascii="Book Antiqua" w:hAnsi="Book Antiqua"/>
          <w:color w:val="222222"/>
          <w:sz w:val="24"/>
          <w:szCs w:val="24"/>
          <w:shd w:val="clear" w:color="auto" w:fill="FFFFFF"/>
        </w:rPr>
        <w:t>., 2024)</w:t>
      </w:r>
      <w:r w:rsidR="00392324" w:rsidRPr="00B84DC4">
        <w:rPr>
          <w:rFonts w:ascii="Book Antiqua" w:hAnsi="Book Antiqua"/>
          <w:sz w:val="24"/>
          <w:szCs w:val="24"/>
        </w:rPr>
        <w:t xml:space="preserve">, yang memungkinkan tanaman memperoleh unsur hara nitrogen secara alami. Bakteri ini umumnya ditemukan pada tanaman famili </w:t>
      </w:r>
      <w:r w:rsidR="00392324" w:rsidRPr="00B84DC4">
        <w:rPr>
          <w:rFonts w:ascii="Book Antiqua" w:hAnsi="Book Antiqua"/>
          <w:i/>
          <w:sz w:val="24"/>
          <w:szCs w:val="24"/>
        </w:rPr>
        <w:t>Fabaceae</w:t>
      </w:r>
      <w:r w:rsidR="00392324" w:rsidRPr="00B84DC4">
        <w:rPr>
          <w:rFonts w:ascii="Book Antiqua" w:hAnsi="Book Antiqua"/>
          <w:sz w:val="24"/>
          <w:szCs w:val="24"/>
        </w:rPr>
        <w:t xml:space="preserve"> atau </w:t>
      </w:r>
      <w:r w:rsidR="00392324" w:rsidRPr="00B84DC4">
        <w:rPr>
          <w:rFonts w:ascii="Book Antiqua" w:hAnsi="Book Antiqua"/>
          <w:i/>
          <w:sz w:val="24"/>
          <w:szCs w:val="24"/>
        </w:rPr>
        <w:t>Leguminosae</w:t>
      </w:r>
      <w:r w:rsidR="00392324" w:rsidRPr="00B84DC4">
        <w:rPr>
          <w:rFonts w:ascii="Book Antiqua" w:hAnsi="Book Antiqua"/>
          <w:sz w:val="24"/>
          <w:szCs w:val="24"/>
        </w:rPr>
        <w:t xml:space="preserve"> (Utama &amp; Suparti, 2022).</w:t>
      </w:r>
    </w:p>
    <w:p w14:paraId="1994C240" w14:textId="05BF5C94" w:rsidR="00392324" w:rsidRPr="00B84DC4" w:rsidRDefault="00B84DC4" w:rsidP="00A73FF5">
      <w:pPr>
        <w:spacing w:after="0"/>
        <w:ind w:firstLine="709"/>
        <w:jc w:val="both"/>
        <w:rPr>
          <w:rFonts w:ascii="Book Antiqua" w:hAnsi="Book Antiqua"/>
          <w:sz w:val="24"/>
          <w:szCs w:val="24"/>
        </w:rPr>
      </w:pPr>
      <w:r w:rsidRPr="00B84DC4">
        <w:rPr>
          <w:rFonts w:ascii="Book Antiqua" w:hAnsi="Book Antiqua"/>
          <w:sz w:val="24"/>
          <w:szCs w:val="24"/>
        </w:rPr>
        <w:t xml:space="preserve">Membandingkan kadar nitrogen pada tanaman yang bukan polong-polongan dan yang merupakan polong-polongan adalah tujuan utama penelitian ini. Penggunaan pupuk kimia atau anorganik, yang berbahaya bagi lingkungan, diperkirakan akan menurun sebagai akibat dari hal ini. Ada dua kategori utama pupuk yang sering diterima tanaman: organik dan anorganik (Sulaminingsih, 2024; Handayani &amp; Tojang, 2023). Ketidakseimbangan unsur hara tanah, kerusakan struktur, dan penurunan mikrobiologi tanah dapat terjadi akibat penggunaan pupuk anorganik secara terus menerus tanpa adanya pupuk organik (Murnita &amp; Taher, 2021). Penggunaan tanaman penutup tanah merupakan salah satu cara untuk meningkatkan kondisi tanah (Syahmita et al., 2025). Istilah "tanaman penutup tanah legum" menggambarkan praktik umum menanam legum sebagai semacam penutup tanah. Perannya meliputi mencegah pertumbuhan gulma, melindungi tanah dari sinar </w:t>
      </w:r>
      <w:r w:rsidRPr="00B84DC4">
        <w:rPr>
          <w:rFonts w:ascii="Book Antiqua" w:hAnsi="Book Antiqua"/>
          <w:sz w:val="24"/>
          <w:szCs w:val="24"/>
        </w:rPr>
        <w:lastRenderedPageBreak/>
        <w:t xml:space="preserve">matahari dan hujan, mengurangi limpasan permukaan, menjaga kelembapan tanah, dan meningkatkan kesuburan tanah (dalam bentuk pupuk hijau) (Nursanti &amp; Supriyanto, 2022). Kami berharap bahwa pada akhir penelitian ini, kami akan memiliki pemahaman yang lebih baik tentang bagaimana legum dan tanaman non-legum lainnya dapat secara alami menyediakan nitrogen bagi tanah. </w:t>
      </w:r>
    </w:p>
    <w:p w14:paraId="7AECE371" w14:textId="77777777" w:rsidR="00392324" w:rsidRPr="00B84DC4" w:rsidRDefault="00392324" w:rsidP="00392324">
      <w:pPr>
        <w:spacing w:after="0"/>
        <w:jc w:val="both"/>
        <w:rPr>
          <w:rFonts w:ascii="Book Antiqua" w:hAnsi="Book Antiqua"/>
          <w:sz w:val="24"/>
          <w:szCs w:val="24"/>
        </w:rPr>
      </w:pPr>
    </w:p>
    <w:p w14:paraId="40A38DB5" w14:textId="1A04D154" w:rsidR="00392324" w:rsidRPr="00B84DC4" w:rsidRDefault="00392324" w:rsidP="009D47F0">
      <w:pPr>
        <w:pStyle w:val="ListParagraph"/>
        <w:numPr>
          <w:ilvl w:val="0"/>
          <w:numId w:val="1"/>
        </w:numPr>
        <w:spacing w:after="240"/>
        <w:ind w:left="284" w:hanging="284"/>
        <w:jc w:val="both"/>
        <w:rPr>
          <w:rFonts w:ascii="Book Antiqua" w:hAnsi="Book Antiqua"/>
          <w:b/>
          <w:bCs/>
          <w:lang w:val="fr-FR"/>
        </w:rPr>
      </w:pPr>
      <w:r w:rsidRPr="00B84DC4">
        <w:rPr>
          <w:rFonts w:ascii="Book Antiqua" w:hAnsi="Book Antiqua"/>
          <w:b/>
          <w:bCs/>
        </w:rPr>
        <w:t>Metode Penelitian</w:t>
      </w:r>
    </w:p>
    <w:p w14:paraId="5D803EBB" w14:textId="3DA64230" w:rsidR="00392324" w:rsidRPr="00B84DC4" w:rsidRDefault="00392324" w:rsidP="00AA4789">
      <w:pPr>
        <w:pStyle w:val="ListParagraph"/>
        <w:numPr>
          <w:ilvl w:val="1"/>
          <w:numId w:val="1"/>
        </w:numPr>
        <w:ind w:left="426" w:hanging="426"/>
        <w:jc w:val="both"/>
        <w:rPr>
          <w:rFonts w:ascii="Book Antiqua" w:hAnsi="Book Antiqua"/>
          <w:b/>
          <w:noProof/>
        </w:rPr>
      </w:pPr>
      <w:r w:rsidRPr="00B84DC4">
        <w:rPr>
          <w:rFonts w:ascii="Book Antiqua" w:hAnsi="Book Antiqua"/>
          <w:b/>
          <w:noProof/>
        </w:rPr>
        <w:t>Alat dan Bahan</w:t>
      </w:r>
    </w:p>
    <w:p w14:paraId="1BF36DF1" w14:textId="4DFCE85A" w:rsidR="00392324" w:rsidRPr="00B84DC4" w:rsidRDefault="00392324" w:rsidP="009D47F0">
      <w:pPr>
        <w:spacing w:after="0"/>
        <w:ind w:firstLine="709"/>
        <w:jc w:val="both"/>
        <w:rPr>
          <w:rFonts w:ascii="Book Antiqua" w:hAnsi="Book Antiqua"/>
          <w:sz w:val="24"/>
          <w:szCs w:val="24"/>
        </w:rPr>
      </w:pPr>
      <w:r w:rsidRPr="00B84DC4">
        <w:rPr>
          <w:rFonts w:ascii="Book Antiqua" w:hAnsi="Book Antiqua"/>
          <w:noProof/>
          <w:sz w:val="24"/>
          <w:szCs w:val="24"/>
        </w:rPr>
        <w:t xml:space="preserve">Alat yang digunakan adalah </w:t>
      </w:r>
      <w:r w:rsidRPr="00B84DC4">
        <w:rPr>
          <w:rFonts w:ascii="Book Antiqua" w:hAnsi="Book Antiqua"/>
          <w:sz w:val="24"/>
          <w:szCs w:val="24"/>
        </w:rPr>
        <w:t>oven, unit destilator N (</w:t>
      </w:r>
      <w:r w:rsidRPr="00B84DC4">
        <w:rPr>
          <w:rFonts w:ascii="Book Antiqua" w:hAnsi="Book Antiqua"/>
          <w:i/>
          <w:sz w:val="24"/>
          <w:szCs w:val="24"/>
        </w:rPr>
        <w:t>Kjeltec</w:t>
      </w:r>
      <w:r w:rsidRPr="00B84DC4">
        <w:rPr>
          <w:rFonts w:ascii="Book Antiqua" w:hAnsi="Book Antiqua"/>
          <w:sz w:val="24"/>
          <w:szCs w:val="24"/>
        </w:rPr>
        <w:t xml:space="preserve">), tabung </w:t>
      </w:r>
      <w:r w:rsidRPr="00B84DC4">
        <w:rPr>
          <w:rFonts w:ascii="Book Antiqua" w:hAnsi="Book Antiqua"/>
          <w:i/>
          <w:sz w:val="24"/>
          <w:szCs w:val="24"/>
        </w:rPr>
        <w:t>digestion</w:t>
      </w:r>
      <w:r w:rsidR="001402CE" w:rsidRPr="00B84DC4">
        <w:rPr>
          <w:rFonts w:ascii="Book Antiqua" w:hAnsi="Book Antiqua"/>
          <w:sz w:val="24"/>
          <w:szCs w:val="24"/>
        </w:rPr>
        <w:t xml:space="preserve">, </w:t>
      </w:r>
      <w:r w:rsidRPr="00B84DC4">
        <w:rPr>
          <w:rFonts w:ascii="Book Antiqua" w:hAnsi="Book Antiqua"/>
          <w:sz w:val="24"/>
          <w:szCs w:val="24"/>
        </w:rPr>
        <w:t xml:space="preserve">blok </w:t>
      </w:r>
      <w:r w:rsidRPr="00B84DC4">
        <w:rPr>
          <w:rFonts w:ascii="Book Antiqua" w:hAnsi="Book Antiqua"/>
          <w:i/>
          <w:sz w:val="24"/>
          <w:szCs w:val="24"/>
        </w:rPr>
        <w:t>digestion</w:t>
      </w:r>
      <w:r w:rsidR="001402CE" w:rsidRPr="00B84DC4">
        <w:rPr>
          <w:rFonts w:ascii="Book Antiqua" w:hAnsi="Book Antiqua"/>
          <w:sz w:val="24"/>
          <w:szCs w:val="24"/>
        </w:rPr>
        <w:t xml:space="preserve"> dan </w:t>
      </w:r>
      <w:r w:rsidRPr="00B84DC4">
        <w:rPr>
          <w:rFonts w:ascii="Book Antiqua" w:hAnsi="Book Antiqua"/>
          <w:sz w:val="24"/>
          <w:szCs w:val="24"/>
        </w:rPr>
        <w:t>titrator</w:t>
      </w:r>
      <w:r w:rsidR="00A73FF5" w:rsidRPr="00B84DC4">
        <w:rPr>
          <w:rFonts w:ascii="Book Antiqua" w:hAnsi="Book Antiqua"/>
          <w:sz w:val="24"/>
          <w:szCs w:val="24"/>
        </w:rPr>
        <w:t>. Sementara bahan yang digunakan diantaranya yaitu</w:t>
      </w:r>
      <w:r w:rsidRPr="00B84DC4">
        <w:rPr>
          <w:rFonts w:ascii="Book Antiqua" w:hAnsi="Book Antiqua"/>
          <w:sz w:val="24"/>
          <w:szCs w:val="24"/>
        </w:rPr>
        <w:t xml:space="preserve"> katalis N, H</w:t>
      </w:r>
      <w:r w:rsidRPr="00B84DC4">
        <w:rPr>
          <w:rFonts w:ascii="Book Antiqua" w:hAnsi="Book Antiqua"/>
          <w:sz w:val="24"/>
          <w:szCs w:val="24"/>
          <w:vertAlign w:val="subscript"/>
        </w:rPr>
        <w:t>2</w:t>
      </w:r>
      <w:r w:rsidRPr="00B84DC4">
        <w:rPr>
          <w:rFonts w:ascii="Book Antiqua" w:hAnsi="Book Antiqua"/>
          <w:sz w:val="24"/>
          <w:szCs w:val="24"/>
        </w:rPr>
        <w:t>SO</w:t>
      </w:r>
      <w:r w:rsidRPr="00B84DC4">
        <w:rPr>
          <w:rFonts w:ascii="Book Antiqua" w:hAnsi="Book Antiqua"/>
          <w:sz w:val="24"/>
          <w:szCs w:val="24"/>
          <w:vertAlign w:val="subscript"/>
        </w:rPr>
        <w:t>4</w:t>
      </w:r>
      <w:r w:rsidRPr="00B84DC4">
        <w:rPr>
          <w:rFonts w:ascii="Book Antiqua" w:hAnsi="Book Antiqua"/>
          <w:sz w:val="24"/>
          <w:szCs w:val="24"/>
        </w:rPr>
        <w:t xml:space="preserve"> 0,05 N, H</w:t>
      </w:r>
      <w:r w:rsidRPr="00B84DC4">
        <w:rPr>
          <w:rFonts w:ascii="Book Antiqua" w:hAnsi="Book Antiqua"/>
          <w:sz w:val="24"/>
          <w:szCs w:val="24"/>
          <w:vertAlign w:val="subscript"/>
        </w:rPr>
        <w:t>2</w:t>
      </w:r>
      <w:r w:rsidRPr="00B84DC4">
        <w:rPr>
          <w:rFonts w:ascii="Book Antiqua" w:hAnsi="Book Antiqua"/>
          <w:sz w:val="24"/>
          <w:szCs w:val="24"/>
        </w:rPr>
        <w:t>SO</w:t>
      </w:r>
      <w:r w:rsidRPr="00B84DC4">
        <w:rPr>
          <w:rFonts w:ascii="Book Antiqua" w:hAnsi="Book Antiqua"/>
          <w:sz w:val="24"/>
          <w:szCs w:val="24"/>
          <w:vertAlign w:val="subscript"/>
        </w:rPr>
        <w:t>4</w:t>
      </w:r>
      <w:r w:rsidRPr="00B84DC4">
        <w:rPr>
          <w:rFonts w:ascii="Book Antiqua" w:hAnsi="Book Antiqua"/>
          <w:sz w:val="24"/>
          <w:szCs w:val="24"/>
        </w:rPr>
        <w:t xml:space="preserve"> (95-98%), </w:t>
      </w:r>
      <w:r w:rsidRPr="00B84DC4">
        <w:rPr>
          <w:rFonts w:ascii="Book Antiqua" w:hAnsi="Book Antiqua"/>
          <w:color w:val="0D0D0D"/>
          <w:sz w:val="24"/>
          <w:szCs w:val="24"/>
        </w:rPr>
        <w:t>natrium NaOH</w:t>
      </w:r>
      <w:r w:rsidRPr="00B84DC4">
        <w:rPr>
          <w:rFonts w:ascii="Book Antiqua" w:hAnsi="Book Antiqua"/>
          <w:sz w:val="24"/>
          <w:szCs w:val="24"/>
        </w:rPr>
        <w:t xml:space="preserve"> 40%, H</w:t>
      </w:r>
      <w:r w:rsidRPr="00B84DC4">
        <w:rPr>
          <w:rFonts w:ascii="Book Antiqua" w:hAnsi="Book Antiqua"/>
          <w:sz w:val="24"/>
          <w:szCs w:val="24"/>
          <w:vertAlign w:val="subscript"/>
        </w:rPr>
        <w:t>3</w:t>
      </w:r>
      <w:r w:rsidRPr="00B84DC4">
        <w:rPr>
          <w:rFonts w:ascii="Book Antiqua" w:hAnsi="Book Antiqua"/>
          <w:sz w:val="24"/>
          <w:szCs w:val="24"/>
        </w:rPr>
        <w:t>BO</w:t>
      </w:r>
      <w:r w:rsidRPr="00B84DC4">
        <w:rPr>
          <w:rFonts w:ascii="Book Antiqua" w:hAnsi="Book Antiqua"/>
          <w:sz w:val="24"/>
          <w:szCs w:val="24"/>
          <w:vertAlign w:val="subscript"/>
        </w:rPr>
        <w:t>3</w:t>
      </w:r>
      <w:r w:rsidRPr="00B84DC4">
        <w:rPr>
          <w:rFonts w:ascii="Book Antiqua" w:hAnsi="Book Antiqua"/>
          <w:sz w:val="24"/>
          <w:szCs w:val="24"/>
        </w:rPr>
        <w:t xml:space="preserve">, Indikator </w:t>
      </w:r>
      <w:r w:rsidRPr="00B84DC4">
        <w:rPr>
          <w:rFonts w:ascii="Book Antiqua" w:hAnsi="Book Antiqua"/>
          <w:i/>
          <w:sz w:val="24"/>
          <w:szCs w:val="24"/>
        </w:rPr>
        <w:t>Conway</w:t>
      </w:r>
      <w:r w:rsidRPr="00B84DC4">
        <w:rPr>
          <w:rFonts w:ascii="Book Antiqua" w:hAnsi="Book Antiqua"/>
          <w:sz w:val="24"/>
          <w:szCs w:val="24"/>
        </w:rPr>
        <w:t>, sampel tanaman kacang tanah, jagung dan bunga telang.</w:t>
      </w:r>
    </w:p>
    <w:p w14:paraId="64CD8081" w14:textId="77777777" w:rsidR="00392324" w:rsidRPr="00B84DC4" w:rsidRDefault="00392324" w:rsidP="00392324">
      <w:pPr>
        <w:spacing w:after="0"/>
        <w:jc w:val="both"/>
        <w:rPr>
          <w:rFonts w:ascii="Book Antiqua" w:hAnsi="Book Antiqua"/>
          <w:sz w:val="24"/>
          <w:szCs w:val="24"/>
        </w:rPr>
      </w:pPr>
    </w:p>
    <w:p w14:paraId="3AC7B96B" w14:textId="135FE48E" w:rsidR="00392324" w:rsidRPr="00B84DC4" w:rsidRDefault="009D47F0" w:rsidP="00AA4789">
      <w:pPr>
        <w:pStyle w:val="ListParagraph"/>
        <w:numPr>
          <w:ilvl w:val="1"/>
          <w:numId w:val="1"/>
        </w:numPr>
        <w:ind w:left="426" w:hanging="426"/>
        <w:jc w:val="both"/>
        <w:rPr>
          <w:rFonts w:ascii="Book Antiqua" w:hAnsi="Book Antiqua"/>
          <w:b/>
        </w:rPr>
      </w:pPr>
      <w:r w:rsidRPr="00B84DC4">
        <w:rPr>
          <w:rFonts w:ascii="Book Antiqua" w:hAnsi="Book Antiqua"/>
          <w:b/>
        </w:rPr>
        <w:t>Prosedur</w:t>
      </w:r>
      <w:r w:rsidR="00392324" w:rsidRPr="00B84DC4">
        <w:rPr>
          <w:rFonts w:ascii="Book Antiqua" w:hAnsi="Book Antiqua"/>
          <w:b/>
        </w:rPr>
        <w:t xml:space="preserve"> Penelitian</w:t>
      </w:r>
    </w:p>
    <w:p w14:paraId="1B210E92" w14:textId="234D23A2" w:rsidR="00392324" w:rsidRPr="00B84DC4" w:rsidRDefault="00B15595" w:rsidP="009D47F0">
      <w:pPr>
        <w:spacing w:after="0"/>
        <w:ind w:firstLine="720"/>
        <w:jc w:val="both"/>
        <w:rPr>
          <w:rFonts w:ascii="Book Antiqua" w:hAnsi="Book Antiqua"/>
          <w:sz w:val="24"/>
          <w:szCs w:val="24"/>
        </w:rPr>
      </w:pPr>
      <w:r w:rsidRPr="00B84DC4">
        <w:rPr>
          <w:rFonts w:ascii="Book Antiqua" w:hAnsi="Book Antiqua"/>
          <w:sz w:val="24"/>
          <w:szCs w:val="24"/>
        </w:rPr>
        <w:t>Sampel tanaman diambil dari pekarangan kebun BPSIP Sumatera Utara</w:t>
      </w:r>
      <w:r w:rsidR="00A73FF5" w:rsidRPr="00B84DC4">
        <w:rPr>
          <w:rFonts w:ascii="Book Antiqua" w:hAnsi="Book Antiqua"/>
          <w:sz w:val="24"/>
          <w:szCs w:val="24"/>
        </w:rPr>
        <w:t>. Sampel tersebut dikeringkan terlebih dahulu</w:t>
      </w:r>
      <w:r w:rsidRPr="00B84DC4">
        <w:rPr>
          <w:rFonts w:ascii="Book Antiqua" w:hAnsi="Book Antiqua"/>
          <w:sz w:val="24"/>
          <w:szCs w:val="24"/>
        </w:rPr>
        <w:t xml:space="preserve"> sebelum dianalisis. </w:t>
      </w:r>
      <w:r w:rsidR="00A73FF5" w:rsidRPr="00B84DC4">
        <w:rPr>
          <w:rFonts w:ascii="Book Antiqua" w:hAnsi="Book Antiqua"/>
          <w:sz w:val="24"/>
          <w:szCs w:val="24"/>
        </w:rPr>
        <w:t xml:space="preserve">Analisis nitrogen pada sampel </w:t>
      </w:r>
      <w:r w:rsidR="00A54D88" w:rsidRPr="00B84DC4">
        <w:rPr>
          <w:rFonts w:ascii="Book Antiqua" w:hAnsi="Book Antiqua"/>
          <w:sz w:val="24"/>
          <w:szCs w:val="24"/>
        </w:rPr>
        <w:t>dilaksanakan</w:t>
      </w:r>
      <w:r w:rsidR="00A73FF5" w:rsidRPr="00B84DC4">
        <w:rPr>
          <w:rFonts w:ascii="Book Antiqua" w:hAnsi="Book Antiqua"/>
          <w:sz w:val="24"/>
          <w:szCs w:val="24"/>
        </w:rPr>
        <w:t xml:space="preserve"> dengan metode Kjeldahl </w:t>
      </w:r>
      <w:r w:rsidRPr="00B84DC4">
        <w:rPr>
          <w:rFonts w:ascii="Book Antiqua" w:hAnsi="Book Antiqua"/>
          <w:sz w:val="24"/>
          <w:szCs w:val="24"/>
        </w:rPr>
        <w:t xml:space="preserve">melalui tiga tahapan utama </w:t>
      </w:r>
      <w:r w:rsidR="00392324" w:rsidRPr="00B84DC4">
        <w:rPr>
          <w:rFonts w:ascii="Book Antiqua" w:hAnsi="Book Antiqua"/>
          <w:sz w:val="24"/>
          <w:szCs w:val="24"/>
        </w:rPr>
        <w:t xml:space="preserve">(Hermawati </w:t>
      </w:r>
      <w:r w:rsidR="00392324" w:rsidRPr="00B84DC4">
        <w:rPr>
          <w:rFonts w:ascii="Book Antiqua" w:hAnsi="Book Antiqua"/>
          <w:i/>
          <w:sz w:val="24"/>
          <w:szCs w:val="24"/>
        </w:rPr>
        <w:t>et al</w:t>
      </w:r>
      <w:r w:rsidR="00392324" w:rsidRPr="00B84DC4">
        <w:rPr>
          <w:rFonts w:ascii="Book Antiqua" w:hAnsi="Book Antiqua"/>
          <w:sz w:val="24"/>
          <w:szCs w:val="24"/>
        </w:rPr>
        <w:t>., 2021;</w:t>
      </w:r>
      <w:r w:rsidR="00A73FF5" w:rsidRPr="00B84DC4">
        <w:rPr>
          <w:rFonts w:ascii="Book Antiqua" w:hAnsi="Book Antiqua"/>
          <w:color w:val="222222"/>
          <w:sz w:val="24"/>
          <w:szCs w:val="24"/>
          <w:shd w:val="clear" w:color="auto" w:fill="FFFFFF"/>
        </w:rPr>
        <w:t xml:space="preserve"> </w:t>
      </w:r>
      <w:r w:rsidR="00392324" w:rsidRPr="00B84DC4">
        <w:rPr>
          <w:rFonts w:ascii="Book Antiqua" w:hAnsi="Book Antiqua"/>
          <w:color w:val="222222"/>
          <w:sz w:val="24"/>
          <w:szCs w:val="24"/>
          <w:shd w:val="clear" w:color="auto" w:fill="FFFFFF"/>
        </w:rPr>
        <w:t>Setyaningrum</w:t>
      </w:r>
      <w:r w:rsidR="00392324" w:rsidRPr="00B84DC4">
        <w:rPr>
          <w:rFonts w:ascii="Book Antiqua" w:hAnsi="Book Antiqua"/>
          <w:sz w:val="24"/>
          <w:szCs w:val="24"/>
        </w:rPr>
        <w:t xml:space="preserve"> &amp; Kasanah, 2024) dengan sedikit modifikasi diantaranya:</w:t>
      </w:r>
    </w:p>
    <w:p w14:paraId="5E38C291" w14:textId="24A63049" w:rsidR="00392324" w:rsidRPr="00B84DC4" w:rsidRDefault="00392324" w:rsidP="009D47F0">
      <w:pPr>
        <w:pStyle w:val="ListParagraph"/>
        <w:numPr>
          <w:ilvl w:val="2"/>
          <w:numId w:val="1"/>
        </w:numPr>
        <w:spacing w:line="276" w:lineRule="auto"/>
        <w:ind w:left="426" w:hanging="426"/>
        <w:jc w:val="both"/>
        <w:rPr>
          <w:rFonts w:ascii="Book Antiqua" w:hAnsi="Book Antiqua"/>
          <w:b/>
        </w:rPr>
      </w:pPr>
      <w:r w:rsidRPr="00B84DC4">
        <w:rPr>
          <w:rFonts w:ascii="Book Antiqua" w:hAnsi="Book Antiqua"/>
          <w:b/>
        </w:rPr>
        <w:t>Destruksi</w:t>
      </w:r>
    </w:p>
    <w:p w14:paraId="428D121D" w14:textId="7CC27D84" w:rsidR="00392324" w:rsidRPr="00B84DC4" w:rsidRDefault="00B84DC4" w:rsidP="00B84DC4">
      <w:pPr>
        <w:ind w:firstLine="426"/>
        <w:jc w:val="both"/>
        <w:rPr>
          <w:rFonts w:ascii="Book Antiqua" w:hAnsi="Book Antiqua"/>
        </w:rPr>
      </w:pPr>
      <w:r w:rsidRPr="00B84DC4">
        <w:rPr>
          <w:rFonts w:ascii="Book Antiqua" w:hAnsi="Book Antiqua"/>
        </w:rPr>
        <w:t xml:space="preserve">Sampel tanaman seberat 0,25 gram diambil dan dimasukkan ke dalam tabung digesti untuk tujuan digesti. Kemudian ditambahkan satu gram katalis dan tiga mililiter H2SO4 pekat. Setelah campuran tercampur rata, dipanaskan hingga 350°C selama tiga hingga empat jam, atau sampai diperoleh ekstrak yang jernih dan uap putih keluar. Setelah tabung digesti dilepas dan didinginkan, ekstrak diperoleh. Untuk mencegah ekstrak mengkristal, sedikit air suling ditambahkan ke dalamnya. </w:t>
      </w:r>
    </w:p>
    <w:p w14:paraId="38FCA96B" w14:textId="32B3F3D1" w:rsidR="00392324" w:rsidRPr="00B84DC4" w:rsidRDefault="00392324" w:rsidP="009D47F0">
      <w:pPr>
        <w:pStyle w:val="ListParagraph"/>
        <w:numPr>
          <w:ilvl w:val="2"/>
          <w:numId w:val="1"/>
        </w:numPr>
        <w:spacing w:line="276" w:lineRule="auto"/>
        <w:ind w:left="426" w:hanging="426"/>
        <w:jc w:val="both"/>
        <w:rPr>
          <w:rFonts w:ascii="Book Antiqua" w:hAnsi="Book Antiqua"/>
          <w:b/>
        </w:rPr>
      </w:pPr>
      <w:r w:rsidRPr="00B84DC4">
        <w:rPr>
          <w:rFonts w:ascii="Book Antiqua" w:hAnsi="Book Antiqua"/>
          <w:b/>
        </w:rPr>
        <w:t>Destilasi</w:t>
      </w:r>
    </w:p>
    <w:p w14:paraId="4FFC4144" w14:textId="15D1453C" w:rsidR="00392324" w:rsidRPr="00B84DC4" w:rsidRDefault="00B84DC4" w:rsidP="009D47F0">
      <w:pPr>
        <w:pStyle w:val="ListParagraph"/>
        <w:spacing w:line="276" w:lineRule="auto"/>
        <w:ind w:left="0" w:firstLine="720"/>
        <w:jc w:val="both"/>
        <w:rPr>
          <w:rFonts w:ascii="Book Antiqua" w:hAnsi="Book Antiqua"/>
        </w:rPr>
      </w:pPr>
      <w:r w:rsidRPr="00B84DC4">
        <w:rPr>
          <w:rFonts w:ascii="Book Antiqua" w:hAnsi="Book Antiqua"/>
        </w:rPr>
        <w:t xml:space="preserve">Peneliti menyiapkan labu Erlenmeyer dengan 10 mL H3BO3 1% dan dua atau tiga tetes indikator merah Conway. Sehingga larutan pengumpul terendam hingga pipa keluar, wadah distilat ditempatkan di alat distilasi. Kemudian larutan sampel diencerkan dengan air suling hingga labu alas bulat terisi setengahnya. 10 mililiter tambahan natrium hidroksida 40% ditambahkan </w:t>
      </w:r>
    </w:p>
    <w:p w14:paraId="1B60ADEA" w14:textId="1121AF41" w:rsidR="00392324" w:rsidRPr="00B84DC4" w:rsidRDefault="00392324" w:rsidP="009D47F0">
      <w:pPr>
        <w:pStyle w:val="ListParagraph"/>
        <w:numPr>
          <w:ilvl w:val="2"/>
          <w:numId w:val="1"/>
        </w:numPr>
        <w:spacing w:line="276" w:lineRule="auto"/>
        <w:ind w:left="426" w:hanging="426"/>
        <w:jc w:val="both"/>
        <w:rPr>
          <w:rFonts w:ascii="Book Antiqua" w:hAnsi="Book Antiqua"/>
          <w:b/>
        </w:rPr>
      </w:pPr>
      <w:r w:rsidRPr="00B84DC4">
        <w:rPr>
          <w:rFonts w:ascii="Book Antiqua" w:hAnsi="Book Antiqua"/>
          <w:b/>
        </w:rPr>
        <w:t xml:space="preserve">Titrasi </w:t>
      </w:r>
    </w:p>
    <w:p w14:paraId="2DB03A19" w14:textId="655A026D" w:rsidR="00A73FF5" w:rsidRPr="00B84DC4" w:rsidRDefault="00B84DC4" w:rsidP="00A73FF5">
      <w:pPr>
        <w:pStyle w:val="ListParagraph"/>
        <w:spacing w:line="276" w:lineRule="auto"/>
        <w:ind w:left="0" w:firstLine="720"/>
        <w:jc w:val="both"/>
        <w:rPr>
          <w:rFonts w:ascii="Book Antiqua" w:hAnsi="Book Antiqua"/>
        </w:rPr>
      </w:pPr>
      <w:r w:rsidRPr="00B84DC4">
        <w:rPr>
          <w:rFonts w:ascii="Book Antiqua" w:hAnsi="Book Antiqua"/>
        </w:rPr>
        <w:t xml:space="preserve">Titrasi dengan larutan H2SO4 0,05 N dilakukan pada distilat setelah distilasi hingga warna larutan berubah dari hijau muda menjadi merah muda. Volume titrasi dicatat. Jumlah nitrogen dalam sampel dapat ditentukan menggunakan hasil titrasi. </w:t>
      </w:r>
    </w:p>
    <w:p w14:paraId="263A05D1" w14:textId="77777777" w:rsidR="00CE4A90" w:rsidRPr="00B84DC4" w:rsidRDefault="00CE4A90" w:rsidP="00A73FF5">
      <w:pPr>
        <w:pStyle w:val="ListParagraph"/>
        <w:spacing w:line="276" w:lineRule="auto"/>
        <w:ind w:left="0" w:firstLine="720"/>
        <w:jc w:val="both"/>
        <w:rPr>
          <w:rFonts w:ascii="Book Antiqua" w:hAnsi="Book Antiqua"/>
        </w:rPr>
      </w:pPr>
    </w:p>
    <w:p w14:paraId="33253A17" w14:textId="77777777" w:rsidR="00B15595" w:rsidRPr="00B84DC4" w:rsidRDefault="009D47F0" w:rsidP="00B15595">
      <w:pPr>
        <w:pStyle w:val="ListParagraph"/>
        <w:numPr>
          <w:ilvl w:val="2"/>
          <w:numId w:val="1"/>
        </w:numPr>
        <w:spacing w:line="276" w:lineRule="auto"/>
        <w:ind w:left="426" w:hanging="426"/>
        <w:jc w:val="both"/>
        <w:rPr>
          <w:rFonts w:ascii="Book Antiqua" w:hAnsi="Book Antiqua"/>
          <w:b/>
          <w:bCs/>
        </w:rPr>
      </w:pPr>
      <w:r w:rsidRPr="00B84DC4">
        <w:rPr>
          <w:rFonts w:ascii="Book Antiqua" w:hAnsi="Book Antiqua"/>
          <w:b/>
          <w:bCs/>
        </w:rPr>
        <w:t>Analisis data</w:t>
      </w:r>
    </w:p>
    <w:p w14:paraId="6572F29A" w14:textId="679FDB41" w:rsidR="00B15595" w:rsidRPr="00B84DC4" w:rsidRDefault="00B15595" w:rsidP="00B15595">
      <w:pPr>
        <w:spacing w:after="0"/>
        <w:ind w:firstLine="720"/>
        <w:jc w:val="both"/>
        <w:rPr>
          <w:rFonts w:ascii="Book Antiqua" w:hAnsi="Book Antiqua"/>
          <w:kern w:val="2"/>
          <w:sz w:val="24"/>
          <w:szCs w:val="24"/>
        </w:rPr>
      </w:pPr>
      <w:r w:rsidRPr="00B84DC4">
        <w:rPr>
          <w:rFonts w:ascii="Book Antiqua" w:hAnsi="Book Antiqua"/>
          <w:kern w:val="2"/>
          <w:sz w:val="24"/>
          <w:szCs w:val="24"/>
        </w:rPr>
        <w:t xml:space="preserve">Analisis kadar nitrogen </w:t>
      </w:r>
      <w:r w:rsidR="00A54D88" w:rsidRPr="00B84DC4">
        <w:rPr>
          <w:rFonts w:ascii="Book Antiqua" w:hAnsi="Book Antiqua"/>
          <w:kern w:val="2"/>
          <w:sz w:val="24"/>
          <w:szCs w:val="24"/>
        </w:rPr>
        <w:t>dilaksanakan</w:t>
      </w:r>
      <w:r w:rsidRPr="00B84DC4">
        <w:rPr>
          <w:rFonts w:ascii="Book Antiqua" w:hAnsi="Book Antiqua"/>
          <w:kern w:val="2"/>
          <w:sz w:val="24"/>
          <w:szCs w:val="24"/>
        </w:rPr>
        <w:t xml:space="preserve"> menggunakan metode Kjeldahl. </w:t>
      </w:r>
      <w:r w:rsidR="00A73FF5" w:rsidRPr="00B84DC4">
        <w:rPr>
          <w:rFonts w:ascii="Book Antiqua" w:hAnsi="Book Antiqua"/>
          <w:kern w:val="2"/>
          <w:sz w:val="24"/>
          <w:szCs w:val="24"/>
        </w:rPr>
        <w:t xml:space="preserve">Prisipnya, </w:t>
      </w:r>
      <w:r w:rsidRPr="00B84DC4">
        <w:rPr>
          <w:rFonts w:ascii="Book Antiqua" w:hAnsi="Book Antiqua"/>
          <w:kern w:val="2"/>
          <w:sz w:val="24"/>
          <w:szCs w:val="24"/>
        </w:rPr>
        <w:t>nitrogen organik dalam sampel terlebih dahulu diubah menjadi amonium (NH</w:t>
      </w:r>
      <w:r w:rsidRPr="00B84DC4">
        <w:rPr>
          <w:rFonts w:ascii="Cambria Math" w:hAnsi="Cambria Math" w:cs="Cambria Math"/>
          <w:kern w:val="2"/>
          <w:sz w:val="24"/>
          <w:szCs w:val="24"/>
        </w:rPr>
        <w:t>₄⁺</w:t>
      </w:r>
      <w:r w:rsidRPr="00B84DC4">
        <w:rPr>
          <w:rFonts w:ascii="Book Antiqua" w:hAnsi="Book Antiqua"/>
          <w:kern w:val="2"/>
          <w:sz w:val="24"/>
          <w:szCs w:val="24"/>
        </w:rPr>
        <w:t xml:space="preserve">) melalui proses digesti menggunakan asam kuat dan katalis. Amonium yang </w:t>
      </w:r>
      <w:r w:rsidRPr="00B84DC4">
        <w:rPr>
          <w:rFonts w:ascii="Book Antiqua" w:hAnsi="Book Antiqua"/>
          <w:kern w:val="2"/>
          <w:sz w:val="24"/>
          <w:szCs w:val="24"/>
        </w:rPr>
        <w:lastRenderedPageBreak/>
        <w:t>terbentuk kemudian dikonversi menjadi amonia (NH</w:t>
      </w:r>
      <w:r w:rsidRPr="00B84DC4">
        <w:rPr>
          <w:rFonts w:ascii="Cambria Math" w:hAnsi="Cambria Math" w:cs="Cambria Math"/>
          <w:kern w:val="2"/>
          <w:sz w:val="24"/>
          <w:szCs w:val="24"/>
        </w:rPr>
        <w:t>₃</w:t>
      </w:r>
      <w:r w:rsidRPr="00B84DC4">
        <w:rPr>
          <w:rFonts w:ascii="Book Antiqua" w:hAnsi="Book Antiqua"/>
          <w:kern w:val="2"/>
          <w:sz w:val="24"/>
          <w:szCs w:val="24"/>
        </w:rPr>
        <w:t>) dengan penambahan basa kuat, selanjutnya didistilasi dan ditangkap dalam larutan penangkap. Jumlah amonia yang tertampung ditentukan melalui titrasi, dan hasil titrasi tersebut digunakan untuk menghitung kadar nitrogen total (N-total) pada sampel tanaman sesuai rumus perhitungan yang berlaku.</w:t>
      </w:r>
    </w:p>
    <w:p w14:paraId="2F653AFE" w14:textId="77777777" w:rsidR="001C3B2C" w:rsidRPr="00B84DC4" w:rsidRDefault="001C3B2C" w:rsidP="00B15595">
      <w:pPr>
        <w:spacing w:after="0"/>
        <w:ind w:firstLine="720"/>
        <w:jc w:val="both"/>
        <w:rPr>
          <w:rFonts w:ascii="Book Antiqua" w:hAnsi="Book Antiqua"/>
          <w:kern w:val="2"/>
          <w:sz w:val="24"/>
          <w:szCs w:val="24"/>
        </w:rPr>
      </w:pPr>
    </w:p>
    <w:p w14:paraId="3455852D" w14:textId="7D529D8C" w:rsidR="00D06833" w:rsidRPr="00B84DC4" w:rsidRDefault="00D06833" w:rsidP="00B15595">
      <w:pPr>
        <w:spacing w:after="0"/>
        <w:ind w:firstLine="720"/>
        <w:jc w:val="both"/>
        <w:rPr>
          <w:rFonts w:ascii="Book Antiqua" w:hAnsi="Book Antiqua"/>
          <w:color w:val="0D0D0D"/>
          <w:sz w:val="24"/>
          <w:szCs w:val="24"/>
        </w:rPr>
      </w:pPr>
      <m:oMathPara>
        <m:oMath>
          <m:r>
            <m:rPr>
              <m:sty m:val="p"/>
            </m:rPr>
            <w:rPr>
              <w:rFonts w:ascii="Cambria Math" w:hAnsi="Cambria Math"/>
              <w:color w:val="0D0D0D"/>
              <w:sz w:val="24"/>
              <w:szCs w:val="24"/>
            </w:rPr>
            <m:t xml:space="preserve">Kadar </m:t>
          </m:r>
          <m:d>
            <m:dPr>
              <m:ctrlPr>
                <w:rPr>
                  <w:rFonts w:ascii="Cambria Math" w:hAnsi="Cambria Math"/>
                  <w:color w:val="0D0D0D"/>
                  <w:sz w:val="24"/>
                  <w:szCs w:val="24"/>
                </w:rPr>
              </m:ctrlPr>
            </m:dPr>
            <m:e>
              <m:r>
                <m:rPr>
                  <m:sty m:val="p"/>
                </m:rPr>
                <w:rPr>
                  <w:rFonts w:ascii="Cambria Math" w:hAnsi="Cambria Math"/>
                  <w:color w:val="0D0D0D"/>
                  <w:sz w:val="24"/>
                  <w:szCs w:val="24"/>
                </w:rPr>
                <m:t>N%</m:t>
              </m:r>
            </m:e>
          </m:d>
          <m:r>
            <m:rPr>
              <m:sty m:val="p"/>
            </m:rPr>
            <w:rPr>
              <w:rFonts w:ascii="Cambria Math" w:hAnsi="Cambria Math"/>
              <w:color w:val="0D0D0D"/>
              <w:sz w:val="24"/>
              <w:szCs w:val="24"/>
            </w:rPr>
            <m:t xml:space="preserve">= </m:t>
          </m:r>
          <m:f>
            <m:fPr>
              <m:ctrlPr>
                <w:rPr>
                  <w:rFonts w:ascii="Cambria Math" w:hAnsi="Cambria Math"/>
                  <w:color w:val="0D0D0D"/>
                  <w:sz w:val="24"/>
                  <w:szCs w:val="24"/>
                </w:rPr>
              </m:ctrlPr>
            </m:fPr>
            <m:num>
              <m:d>
                <m:dPr>
                  <m:ctrlPr>
                    <w:rPr>
                      <w:rFonts w:ascii="Cambria Math" w:hAnsi="Cambria Math"/>
                      <w:color w:val="0D0D0D"/>
                      <w:sz w:val="24"/>
                      <w:szCs w:val="24"/>
                    </w:rPr>
                  </m:ctrlPr>
                </m:dPr>
                <m:e>
                  <m:r>
                    <m:rPr>
                      <m:sty m:val="p"/>
                    </m:rPr>
                    <w:rPr>
                      <w:rFonts w:ascii="Cambria Math" w:hAnsi="Cambria Math"/>
                      <w:color w:val="0D0D0D"/>
                      <w:sz w:val="24"/>
                      <w:szCs w:val="24"/>
                    </w:rPr>
                    <m:t>A-B</m:t>
                  </m:r>
                </m:e>
              </m:d>
              <m:r>
                <m:rPr>
                  <m:sty m:val="p"/>
                </m:rPr>
                <w:rPr>
                  <w:rFonts w:ascii="Cambria Math" w:hAnsi="Cambria Math"/>
                  <w:color w:val="0D0D0D"/>
                  <w:sz w:val="24"/>
                  <w:szCs w:val="24"/>
                </w:rPr>
                <m:t xml:space="preserve">×N </m:t>
              </m:r>
              <m:sSub>
                <m:sSubPr>
                  <m:ctrlPr>
                    <w:rPr>
                      <w:rFonts w:ascii="Cambria Math" w:hAnsi="Cambria Math"/>
                      <w:color w:val="0D0D0D"/>
                      <w:sz w:val="24"/>
                      <w:szCs w:val="24"/>
                    </w:rPr>
                  </m:ctrlPr>
                </m:sSubPr>
                <m:e>
                  <m:r>
                    <m:rPr>
                      <m:sty m:val="p"/>
                    </m:rPr>
                    <w:rPr>
                      <w:rFonts w:ascii="Cambria Math" w:hAnsi="Cambria Math"/>
                      <w:color w:val="0D0D0D"/>
                      <w:sz w:val="24"/>
                      <w:szCs w:val="24"/>
                    </w:rPr>
                    <m:t>H</m:t>
                  </m:r>
                </m:e>
                <m:sub>
                  <m:r>
                    <m:rPr>
                      <m:sty m:val="p"/>
                    </m:rPr>
                    <w:rPr>
                      <w:rFonts w:ascii="Cambria Math" w:hAnsi="Cambria Math"/>
                      <w:color w:val="0D0D0D"/>
                      <w:sz w:val="24"/>
                      <w:szCs w:val="24"/>
                    </w:rPr>
                    <m:t>2</m:t>
                  </m:r>
                </m:sub>
              </m:sSub>
              <m:r>
                <m:rPr>
                  <m:sty m:val="p"/>
                </m:rPr>
                <w:rPr>
                  <w:rFonts w:ascii="Cambria Math" w:hAnsi="Cambria Math"/>
                  <w:color w:val="0D0D0D"/>
                  <w:sz w:val="24"/>
                  <w:szCs w:val="24"/>
                </w:rPr>
                <m:t>S</m:t>
              </m:r>
              <m:sSub>
                <m:sSubPr>
                  <m:ctrlPr>
                    <w:rPr>
                      <w:rFonts w:ascii="Cambria Math" w:hAnsi="Cambria Math"/>
                      <w:color w:val="0D0D0D"/>
                      <w:sz w:val="24"/>
                      <w:szCs w:val="24"/>
                    </w:rPr>
                  </m:ctrlPr>
                </m:sSubPr>
                <m:e>
                  <m:r>
                    <m:rPr>
                      <m:sty m:val="p"/>
                    </m:rPr>
                    <w:rPr>
                      <w:rFonts w:ascii="Cambria Math" w:hAnsi="Cambria Math"/>
                      <w:color w:val="0D0D0D"/>
                      <w:sz w:val="24"/>
                      <w:szCs w:val="24"/>
                    </w:rPr>
                    <m:t>O</m:t>
                  </m:r>
                </m:e>
                <m:sub>
                  <m:r>
                    <m:rPr>
                      <m:sty m:val="p"/>
                    </m:rPr>
                    <w:rPr>
                      <w:rFonts w:ascii="Cambria Math" w:hAnsi="Cambria Math"/>
                      <w:color w:val="0D0D0D"/>
                      <w:sz w:val="24"/>
                      <w:szCs w:val="24"/>
                    </w:rPr>
                    <m:t>4</m:t>
                  </m:r>
                </m:sub>
              </m:sSub>
              <m:r>
                <m:rPr>
                  <m:sty m:val="p"/>
                </m:rPr>
                <w:rPr>
                  <w:rFonts w:ascii="Cambria Math" w:hAnsi="Cambria Math"/>
                  <w:color w:val="0D0D0D"/>
                  <w:sz w:val="24"/>
                  <w:szCs w:val="24"/>
                </w:rPr>
                <m:t>×14×fk×fp</m:t>
              </m:r>
            </m:num>
            <m:den>
              <m:r>
                <m:rPr>
                  <m:sty m:val="p"/>
                </m:rPr>
                <w:rPr>
                  <w:rFonts w:ascii="Cambria Math" w:hAnsi="Cambria Math"/>
                  <w:color w:val="0D0D0D"/>
                  <w:sz w:val="24"/>
                  <w:szCs w:val="24"/>
                </w:rPr>
                <m:t>berat sampel(mg)</m:t>
              </m:r>
            </m:den>
          </m:f>
          <m:r>
            <m:rPr>
              <m:sty m:val="p"/>
            </m:rPr>
            <w:rPr>
              <w:rFonts w:ascii="Cambria Math" w:hAnsi="Cambria Math"/>
              <w:color w:val="0D0D0D"/>
              <w:sz w:val="24"/>
              <w:szCs w:val="24"/>
            </w:rPr>
            <m:t>×100</m:t>
          </m:r>
        </m:oMath>
      </m:oMathPara>
    </w:p>
    <w:p w14:paraId="3D556645" w14:textId="77777777" w:rsidR="001C3B2C" w:rsidRPr="00B84DC4" w:rsidRDefault="001C3B2C" w:rsidP="00B15595">
      <w:pPr>
        <w:spacing w:after="0"/>
        <w:ind w:firstLine="720"/>
        <w:jc w:val="both"/>
        <w:rPr>
          <w:rFonts w:ascii="Book Antiqua" w:hAnsi="Book Antiqua"/>
          <w:b/>
          <w:bCs/>
          <w:sz w:val="24"/>
          <w:szCs w:val="24"/>
        </w:rPr>
      </w:pPr>
    </w:p>
    <w:p w14:paraId="687315D5" w14:textId="3C7F16AC" w:rsidR="00D06833" w:rsidRPr="00B84DC4" w:rsidRDefault="00D06833" w:rsidP="00B15595">
      <w:pPr>
        <w:tabs>
          <w:tab w:val="left" w:pos="1276"/>
          <w:tab w:val="left" w:pos="1418"/>
        </w:tabs>
        <w:spacing w:after="0"/>
        <w:ind w:left="1418" w:hanging="1418"/>
        <w:jc w:val="both"/>
        <w:rPr>
          <w:rFonts w:ascii="Book Antiqua" w:hAnsi="Book Antiqua"/>
          <w:color w:val="0D0D0D"/>
          <w:sz w:val="24"/>
          <w:szCs w:val="24"/>
        </w:rPr>
      </w:pPr>
      <w:r w:rsidRPr="00B84DC4">
        <w:rPr>
          <w:rFonts w:ascii="Book Antiqua" w:hAnsi="Book Antiqua"/>
          <w:color w:val="0D0D0D"/>
          <w:sz w:val="24"/>
          <w:szCs w:val="24"/>
        </w:rPr>
        <w:t>Keterangan</w:t>
      </w:r>
      <w:r w:rsidR="00B15595" w:rsidRPr="00B84DC4">
        <w:rPr>
          <w:rFonts w:ascii="Book Antiqua" w:hAnsi="Book Antiqua"/>
          <w:color w:val="0D0D0D"/>
          <w:sz w:val="24"/>
          <w:szCs w:val="24"/>
        </w:rPr>
        <w:tab/>
        <w:t>:</w:t>
      </w:r>
      <w:r w:rsidR="00B15595" w:rsidRPr="00B84DC4">
        <w:rPr>
          <w:rFonts w:ascii="Book Antiqua" w:hAnsi="Book Antiqua"/>
          <w:color w:val="0D0D0D"/>
          <w:sz w:val="24"/>
          <w:szCs w:val="24"/>
        </w:rPr>
        <w:tab/>
      </w:r>
      <w:r w:rsidRPr="00B84DC4">
        <w:rPr>
          <w:rFonts w:ascii="Book Antiqua" w:hAnsi="Book Antiqua"/>
          <w:color w:val="0D0D0D"/>
          <w:sz w:val="24"/>
          <w:szCs w:val="24"/>
        </w:rPr>
        <w:t>A = Titrasi sampel (mL); B = Titrasi blanko (mL); fk = Faktor koreksi kadar air; fp = Faktor pengenceran; 14 = Berat atom nitrogen</w:t>
      </w:r>
    </w:p>
    <w:p w14:paraId="5AEC9822" w14:textId="77777777" w:rsidR="00B15595" w:rsidRPr="00B84DC4" w:rsidRDefault="00B15595" w:rsidP="00B15595">
      <w:pPr>
        <w:spacing w:after="0"/>
        <w:jc w:val="both"/>
        <w:rPr>
          <w:rFonts w:ascii="Book Antiqua" w:hAnsi="Book Antiqua"/>
          <w:color w:val="0D0D0D"/>
          <w:sz w:val="24"/>
          <w:szCs w:val="24"/>
        </w:rPr>
      </w:pPr>
    </w:p>
    <w:p w14:paraId="0D7F21F4" w14:textId="77777777" w:rsidR="00392324" w:rsidRPr="00B84DC4" w:rsidRDefault="00392324" w:rsidP="00392324">
      <w:pPr>
        <w:pStyle w:val="ListParagraph"/>
        <w:numPr>
          <w:ilvl w:val="0"/>
          <w:numId w:val="1"/>
        </w:numPr>
        <w:spacing w:after="200"/>
        <w:ind w:left="284" w:hanging="284"/>
        <w:jc w:val="both"/>
        <w:rPr>
          <w:rFonts w:ascii="Book Antiqua" w:hAnsi="Book Antiqua"/>
          <w:b/>
          <w:noProof/>
        </w:rPr>
      </w:pPr>
      <w:r w:rsidRPr="00B84DC4">
        <w:rPr>
          <w:rFonts w:ascii="Book Antiqua" w:hAnsi="Book Antiqua"/>
          <w:b/>
          <w:bCs/>
        </w:rPr>
        <w:t>Hasil</w:t>
      </w:r>
    </w:p>
    <w:p w14:paraId="61463B45" w14:textId="14DA8BB3" w:rsidR="00392324" w:rsidRPr="00B84DC4" w:rsidRDefault="001C3B2C" w:rsidP="00A73FF5">
      <w:pPr>
        <w:spacing w:after="0"/>
        <w:ind w:firstLine="720"/>
        <w:jc w:val="both"/>
        <w:rPr>
          <w:rFonts w:ascii="Book Antiqua" w:hAnsi="Book Antiqua"/>
          <w:bCs/>
          <w:noProof/>
          <w:sz w:val="24"/>
          <w:szCs w:val="24"/>
        </w:rPr>
      </w:pPr>
      <w:r w:rsidRPr="00B84DC4">
        <w:rPr>
          <w:rFonts w:ascii="Book Antiqua" w:hAnsi="Book Antiqua"/>
          <w:bCs/>
          <w:noProof/>
          <w:sz w:val="24"/>
          <w:szCs w:val="24"/>
        </w:rPr>
        <w:t>B</w:t>
      </w:r>
      <w:r w:rsidR="00A73FF5" w:rsidRPr="00B84DC4">
        <w:rPr>
          <w:rFonts w:ascii="Book Antiqua" w:hAnsi="Book Antiqua"/>
          <w:bCs/>
          <w:noProof/>
          <w:sz w:val="24"/>
          <w:szCs w:val="24"/>
        </w:rPr>
        <w:t xml:space="preserve">erikut ini merupakan hasil </w:t>
      </w:r>
      <w:r w:rsidRPr="00B84DC4">
        <w:rPr>
          <w:rFonts w:ascii="Book Antiqua" w:hAnsi="Book Antiqua"/>
          <w:bCs/>
          <w:noProof/>
          <w:sz w:val="24"/>
          <w:szCs w:val="24"/>
        </w:rPr>
        <w:t xml:space="preserve">analisis dan pengukuran kandungan nitrogen pada tanaman jagung, kacang tanah, dan bunga telang yang </w:t>
      </w:r>
      <w:r w:rsidR="00A54D88" w:rsidRPr="00B84DC4">
        <w:rPr>
          <w:rFonts w:ascii="Book Antiqua" w:hAnsi="Book Antiqua"/>
          <w:bCs/>
          <w:noProof/>
          <w:sz w:val="24"/>
          <w:szCs w:val="24"/>
        </w:rPr>
        <w:t>dilaksanakan</w:t>
      </w:r>
      <w:r w:rsidRPr="00B84DC4">
        <w:rPr>
          <w:rFonts w:ascii="Book Antiqua" w:hAnsi="Book Antiqua"/>
          <w:bCs/>
          <w:noProof/>
          <w:sz w:val="24"/>
          <w:szCs w:val="24"/>
        </w:rPr>
        <w:t xml:space="preserve"> di Laboratorium Pengujian BPSIP Sumatera Utara, kadar nitrogen total yang diperoleh ditampilkan pada Gambar 1</w:t>
      </w:r>
      <w:r w:rsidR="00392324" w:rsidRPr="00B84DC4">
        <w:rPr>
          <w:rFonts w:ascii="Book Antiqua" w:hAnsi="Book Antiqua"/>
          <w:bCs/>
          <w:noProof/>
          <w:sz w:val="24"/>
          <w:szCs w:val="24"/>
        </w:rPr>
        <w:t>.</w:t>
      </w:r>
    </w:p>
    <w:p w14:paraId="5E5CB7A8" w14:textId="77777777" w:rsidR="00392324" w:rsidRPr="00B84DC4" w:rsidRDefault="00392324" w:rsidP="00392324">
      <w:pPr>
        <w:spacing w:after="0"/>
        <w:ind w:firstLine="709"/>
        <w:jc w:val="both"/>
        <w:rPr>
          <w:rFonts w:ascii="Book Antiqua" w:hAnsi="Book Antiqua"/>
          <w:bCs/>
          <w:noProof/>
          <w:sz w:val="24"/>
          <w:szCs w:val="24"/>
        </w:rPr>
      </w:pPr>
    </w:p>
    <w:p w14:paraId="25FE8FF5" w14:textId="77777777" w:rsidR="00392324" w:rsidRPr="00B84DC4" w:rsidRDefault="00392324" w:rsidP="00392324">
      <w:pPr>
        <w:keepNext/>
        <w:spacing w:after="0"/>
        <w:ind w:firstLine="284"/>
        <w:jc w:val="center"/>
      </w:pPr>
      <w:r w:rsidRPr="00B84DC4">
        <w:rPr>
          <w:noProof/>
        </w:rPr>
        <w:drawing>
          <wp:inline distT="0" distB="0" distL="114300" distR="114300" wp14:anchorId="7E454D12" wp14:editId="0BDF1476">
            <wp:extent cx="3333750" cy="2152650"/>
            <wp:effectExtent l="0" t="0" r="19050" b="1905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E5815F" w14:textId="34253616" w:rsidR="00392324" w:rsidRPr="00B84DC4" w:rsidRDefault="00392324" w:rsidP="00392324">
      <w:pPr>
        <w:pStyle w:val="Caption"/>
        <w:spacing w:after="0" w:line="276" w:lineRule="auto"/>
        <w:jc w:val="center"/>
        <w:rPr>
          <w:rFonts w:ascii="Book Antiqua" w:hAnsi="Book Antiqua"/>
          <w:b w:val="0"/>
          <w:color w:val="auto"/>
          <w:sz w:val="24"/>
          <w:szCs w:val="24"/>
        </w:rPr>
      </w:pPr>
      <w:r w:rsidRPr="00B84DC4">
        <w:rPr>
          <w:rFonts w:ascii="Book Antiqua" w:hAnsi="Book Antiqua"/>
          <w:color w:val="auto"/>
          <w:sz w:val="24"/>
          <w:szCs w:val="24"/>
        </w:rPr>
        <w:t xml:space="preserve">   Gambar </w:t>
      </w:r>
      <w:r w:rsidRPr="00B84DC4">
        <w:rPr>
          <w:rFonts w:ascii="Book Antiqua" w:hAnsi="Book Antiqua"/>
          <w:color w:val="auto"/>
          <w:sz w:val="24"/>
          <w:szCs w:val="24"/>
        </w:rPr>
        <w:fldChar w:fldCharType="begin"/>
      </w:r>
      <w:r w:rsidRPr="00B84DC4">
        <w:rPr>
          <w:rFonts w:ascii="Book Antiqua" w:hAnsi="Book Antiqua"/>
          <w:color w:val="auto"/>
          <w:sz w:val="24"/>
          <w:szCs w:val="24"/>
        </w:rPr>
        <w:instrText xml:space="preserve"> SEQ Gambar \* ARABIC </w:instrText>
      </w:r>
      <w:r w:rsidRPr="00B84DC4">
        <w:rPr>
          <w:rFonts w:ascii="Book Antiqua" w:hAnsi="Book Antiqua"/>
          <w:color w:val="auto"/>
          <w:sz w:val="24"/>
          <w:szCs w:val="24"/>
        </w:rPr>
        <w:fldChar w:fldCharType="separate"/>
      </w:r>
      <w:r w:rsidR="008C5DEF">
        <w:rPr>
          <w:rFonts w:ascii="Book Antiqua" w:hAnsi="Book Antiqua"/>
          <w:noProof/>
          <w:color w:val="auto"/>
          <w:sz w:val="24"/>
          <w:szCs w:val="24"/>
        </w:rPr>
        <w:t>1</w:t>
      </w:r>
      <w:r w:rsidRPr="00B84DC4">
        <w:rPr>
          <w:rFonts w:ascii="Book Antiqua" w:hAnsi="Book Antiqua"/>
          <w:color w:val="auto"/>
          <w:sz w:val="24"/>
          <w:szCs w:val="24"/>
        </w:rPr>
        <w:fldChar w:fldCharType="end"/>
      </w:r>
      <w:r w:rsidRPr="00B84DC4">
        <w:rPr>
          <w:rFonts w:ascii="Book Antiqua" w:hAnsi="Book Antiqua"/>
          <w:color w:val="auto"/>
          <w:sz w:val="24"/>
          <w:szCs w:val="24"/>
        </w:rPr>
        <w:t xml:space="preserve">. </w:t>
      </w:r>
      <w:r w:rsidRPr="00B84DC4">
        <w:rPr>
          <w:rFonts w:ascii="Book Antiqua" w:hAnsi="Book Antiqua"/>
          <w:b w:val="0"/>
          <w:color w:val="auto"/>
          <w:sz w:val="24"/>
          <w:szCs w:val="24"/>
        </w:rPr>
        <w:t>Grafik kadar nitrogen pada tanaman</w:t>
      </w:r>
    </w:p>
    <w:p w14:paraId="4CA0EB68" w14:textId="77777777" w:rsidR="00392324" w:rsidRPr="00B84DC4" w:rsidRDefault="00392324" w:rsidP="00392324">
      <w:pPr>
        <w:spacing w:after="0"/>
      </w:pPr>
    </w:p>
    <w:p w14:paraId="5473E313" w14:textId="77777777" w:rsidR="00392324" w:rsidRPr="00B84DC4" w:rsidRDefault="00392324" w:rsidP="00497401">
      <w:pPr>
        <w:pStyle w:val="ListParagraph"/>
        <w:numPr>
          <w:ilvl w:val="0"/>
          <w:numId w:val="1"/>
        </w:numPr>
        <w:spacing w:line="360" w:lineRule="auto"/>
        <w:ind w:left="284" w:hanging="284"/>
        <w:jc w:val="both"/>
        <w:rPr>
          <w:rFonts w:ascii="Book Antiqua" w:hAnsi="Book Antiqua"/>
          <w:b/>
          <w:noProof/>
        </w:rPr>
      </w:pPr>
      <w:r w:rsidRPr="00B84DC4">
        <w:rPr>
          <w:rFonts w:ascii="Book Antiqua" w:hAnsi="Book Antiqua"/>
          <w:b/>
          <w:noProof/>
        </w:rPr>
        <w:t>Pembahasan</w:t>
      </w:r>
    </w:p>
    <w:p w14:paraId="7A8F328C" w14:textId="603BFA60" w:rsidR="00EE5039" w:rsidRPr="00B84DC4" w:rsidRDefault="009547C6" w:rsidP="001C3B2C">
      <w:pPr>
        <w:spacing w:after="0"/>
        <w:ind w:firstLine="426"/>
        <w:jc w:val="both"/>
        <w:rPr>
          <w:rFonts w:ascii="Book Antiqua" w:hAnsi="Book Antiqua"/>
          <w:color w:val="0D0D0D"/>
          <w:sz w:val="24"/>
          <w:szCs w:val="24"/>
          <w:lang w:val="en-ID"/>
        </w:rPr>
      </w:pPr>
      <w:r w:rsidRPr="00B84DC4">
        <w:rPr>
          <w:rFonts w:ascii="Book Antiqua" w:hAnsi="Book Antiqua"/>
          <w:color w:val="0D0D0D"/>
          <w:sz w:val="24"/>
          <w:szCs w:val="24"/>
          <w:lang w:val="en-ID"/>
        </w:rPr>
        <w:t xml:space="preserve">Hasil pengukuran pada grafik menunjukkan bahwa tanaman legum (kacang tanah dan bunga telang) memiliki kadar nitrogen yang lebih tinggi (masing-masing 6,82% dan 5,06%) dibanding jagung (non-legum) dengan 4,42 %. Temuan ini konsisten dengan penelitian sebelumnya yang menyatakan bahwa </w:t>
      </w:r>
      <w:r w:rsidRPr="00B84DC4">
        <w:rPr>
          <w:rFonts w:ascii="Book Antiqua" w:hAnsi="Book Antiqua"/>
          <w:i/>
          <w:iCs/>
          <w:color w:val="0D0D0D"/>
          <w:sz w:val="24"/>
          <w:szCs w:val="24"/>
          <w:lang w:val="en-ID"/>
        </w:rPr>
        <w:t>leguminosae</w:t>
      </w:r>
      <w:r w:rsidRPr="00B84DC4">
        <w:rPr>
          <w:rFonts w:ascii="Book Antiqua" w:hAnsi="Book Antiqua"/>
          <w:color w:val="0D0D0D"/>
          <w:sz w:val="24"/>
          <w:szCs w:val="24"/>
          <w:lang w:val="en-ID"/>
        </w:rPr>
        <w:t xml:space="preserve"> cenderung memiliki kapasitas penambatan nitrogen yang tinggi karena pembentukan bintil akar yang disimbionkan oleh bakteri </w:t>
      </w:r>
      <w:r w:rsidRPr="00B84DC4">
        <w:rPr>
          <w:rFonts w:ascii="Book Antiqua" w:hAnsi="Book Antiqua"/>
          <w:i/>
          <w:iCs/>
          <w:color w:val="0D0D0D"/>
          <w:sz w:val="24"/>
          <w:szCs w:val="24"/>
          <w:lang w:val="en-ID"/>
        </w:rPr>
        <w:t>Rhizobium</w:t>
      </w:r>
      <w:r w:rsidRPr="00B84DC4">
        <w:rPr>
          <w:rFonts w:ascii="Book Antiqua" w:hAnsi="Book Antiqua"/>
          <w:color w:val="0D0D0D"/>
          <w:sz w:val="24"/>
          <w:szCs w:val="24"/>
          <w:lang w:val="en-ID"/>
        </w:rPr>
        <w:t xml:space="preserve"> (Meitasari et al., 2017).</w:t>
      </w:r>
    </w:p>
    <w:p w14:paraId="15D6D00F" w14:textId="51E7F209" w:rsidR="008E7940" w:rsidRPr="00B84DC4" w:rsidRDefault="00A54D88" w:rsidP="008E7940">
      <w:pPr>
        <w:spacing w:after="0"/>
        <w:ind w:firstLine="709"/>
        <w:jc w:val="both"/>
        <w:rPr>
          <w:rFonts w:ascii="Book Antiqua" w:hAnsi="Book Antiqua"/>
          <w:color w:val="0D0D0D"/>
          <w:sz w:val="24"/>
          <w:szCs w:val="24"/>
        </w:rPr>
      </w:pPr>
      <w:r w:rsidRPr="00B84DC4">
        <w:rPr>
          <w:rFonts w:ascii="Book Antiqua" w:hAnsi="Book Antiqua"/>
          <w:color w:val="0D0D0D"/>
          <w:sz w:val="24"/>
          <w:szCs w:val="24"/>
          <w:lang w:val="en-ID"/>
        </w:rPr>
        <w:t>Riset y</w:t>
      </w:r>
      <w:r w:rsidR="00E46846" w:rsidRPr="00B84DC4">
        <w:rPr>
          <w:rFonts w:ascii="Book Antiqua" w:hAnsi="Book Antiqua"/>
          <w:color w:val="0D0D0D"/>
          <w:sz w:val="24"/>
          <w:szCs w:val="24"/>
          <w:lang w:val="en-ID"/>
        </w:rPr>
        <w:t xml:space="preserve">ang </w:t>
      </w:r>
      <w:r w:rsidRPr="00B84DC4">
        <w:rPr>
          <w:rFonts w:ascii="Book Antiqua" w:hAnsi="Book Antiqua"/>
          <w:color w:val="0D0D0D"/>
          <w:sz w:val="24"/>
          <w:szCs w:val="24"/>
          <w:lang w:val="en-ID"/>
        </w:rPr>
        <w:t>dilaksanakan</w:t>
      </w:r>
      <w:r w:rsidR="00E46846" w:rsidRPr="00B84DC4">
        <w:rPr>
          <w:rFonts w:ascii="Book Antiqua" w:hAnsi="Book Antiqua"/>
          <w:color w:val="0D0D0D"/>
          <w:sz w:val="24"/>
          <w:szCs w:val="24"/>
          <w:lang w:val="en-ID"/>
        </w:rPr>
        <w:t xml:space="preserve"> oleh Rizkia </w:t>
      </w:r>
      <w:r w:rsidR="00E46846" w:rsidRPr="00B84DC4">
        <w:rPr>
          <w:rFonts w:ascii="Book Antiqua" w:hAnsi="Book Antiqua"/>
          <w:i/>
          <w:iCs/>
          <w:color w:val="0D0D0D"/>
          <w:sz w:val="24"/>
          <w:szCs w:val="24"/>
          <w:lang w:val="en-ID"/>
        </w:rPr>
        <w:t>et al.,</w:t>
      </w:r>
      <w:r w:rsidR="00E46846" w:rsidRPr="00B84DC4">
        <w:rPr>
          <w:rFonts w:ascii="Book Antiqua" w:hAnsi="Book Antiqua"/>
          <w:color w:val="0D0D0D"/>
          <w:sz w:val="24"/>
          <w:szCs w:val="24"/>
          <w:lang w:val="en-ID"/>
        </w:rPr>
        <w:t xml:space="preserve"> (2022) pada </w:t>
      </w:r>
      <w:r w:rsidR="00264C70" w:rsidRPr="00B84DC4">
        <w:rPr>
          <w:rFonts w:ascii="Book Antiqua" w:hAnsi="Book Antiqua"/>
          <w:color w:val="0D0D0D"/>
          <w:sz w:val="24"/>
          <w:szCs w:val="24"/>
          <w:lang w:val="en-ID"/>
        </w:rPr>
        <w:t>kacang tanah juga menguatkan hal tersebut</w:t>
      </w:r>
      <w:r w:rsidR="00E46846" w:rsidRPr="00B84DC4">
        <w:rPr>
          <w:rFonts w:ascii="Book Antiqua" w:hAnsi="Book Antiqua"/>
          <w:color w:val="0D0D0D"/>
          <w:sz w:val="24"/>
          <w:szCs w:val="24"/>
          <w:lang w:val="en-ID"/>
        </w:rPr>
        <w:t>, dimana</w:t>
      </w:r>
      <w:r w:rsidR="00264C70" w:rsidRPr="00B84DC4">
        <w:rPr>
          <w:rFonts w:ascii="Book Antiqua" w:hAnsi="Book Antiqua"/>
          <w:color w:val="0D0D0D"/>
          <w:sz w:val="24"/>
          <w:szCs w:val="24"/>
          <w:lang w:val="en-ID"/>
        </w:rPr>
        <w:t xml:space="preserve"> inokulasi </w:t>
      </w:r>
      <w:r w:rsidR="00264C70" w:rsidRPr="00B84DC4">
        <w:rPr>
          <w:rFonts w:ascii="Book Antiqua" w:hAnsi="Book Antiqua"/>
          <w:i/>
          <w:iCs/>
          <w:color w:val="0D0D0D"/>
          <w:sz w:val="24"/>
          <w:szCs w:val="24"/>
          <w:lang w:val="en-ID"/>
        </w:rPr>
        <w:t>Rhizobium</w:t>
      </w:r>
      <w:r w:rsidR="0069664D" w:rsidRPr="00B84DC4">
        <w:rPr>
          <w:rFonts w:ascii="Book Antiqua" w:hAnsi="Book Antiqua"/>
          <w:color w:val="0D0D0D"/>
          <w:sz w:val="24"/>
          <w:szCs w:val="24"/>
          <w:lang w:val="en-ID"/>
        </w:rPr>
        <w:t xml:space="preserve"> (legin</w:t>
      </w:r>
      <w:r w:rsidR="00264C70" w:rsidRPr="00B84DC4">
        <w:rPr>
          <w:rFonts w:ascii="Book Antiqua" w:hAnsi="Book Antiqua"/>
          <w:color w:val="0D0D0D"/>
          <w:sz w:val="24"/>
          <w:szCs w:val="24"/>
          <w:lang w:val="en-ID"/>
        </w:rPr>
        <w:t xml:space="preserve">) terbukti meningkatkan jumlah bintil dan penambatan nitrogen, sehingga berpotensi menaikkan kandungan </w:t>
      </w:r>
      <w:r w:rsidR="00264C70" w:rsidRPr="00B84DC4">
        <w:rPr>
          <w:rFonts w:ascii="Book Antiqua" w:hAnsi="Book Antiqua"/>
          <w:color w:val="0D0D0D"/>
          <w:sz w:val="24"/>
          <w:szCs w:val="24"/>
          <w:lang w:val="en-ID"/>
        </w:rPr>
        <w:lastRenderedPageBreak/>
        <w:t>N dalam akar dan biomassa tanaman</w:t>
      </w:r>
      <w:r w:rsidR="00EE5039" w:rsidRPr="00B84DC4">
        <w:rPr>
          <w:rFonts w:ascii="Book Antiqua" w:hAnsi="Book Antiqua"/>
          <w:color w:val="0D0D0D"/>
          <w:sz w:val="24"/>
          <w:szCs w:val="24"/>
        </w:rPr>
        <w:t>.</w:t>
      </w:r>
      <w:r w:rsidR="00B15595" w:rsidRPr="00B84DC4">
        <w:rPr>
          <w:rFonts w:ascii="Book Antiqua" w:hAnsi="Book Antiqua"/>
          <w:color w:val="0D0D0D"/>
          <w:sz w:val="24"/>
          <w:szCs w:val="24"/>
        </w:rPr>
        <w:t xml:space="preserve"> </w:t>
      </w:r>
      <w:r w:rsidR="004F3C11" w:rsidRPr="00B84DC4">
        <w:rPr>
          <w:rFonts w:ascii="Book Antiqua" w:hAnsi="Book Antiqua"/>
          <w:color w:val="0D0D0D"/>
          <w:sz w:val="24"/>
          <w:szCs w:val="24"/>
          <w:lang w:val="en-ID"/>
        </w:rPr>
        <w:t>Di samping itu, respons kandungan N pada legum sangat dipengaruhi oleh kondisi lahan dan praktik pengelolaan</w:t>
      </w:r>
      <w:r w:rsidR="00E46846" w:rsidRPr="00B84DC4">
        <w:rPr>
          <w:rFonts w:ascii="Book Antiqua" w:hAnsi="Book Antiqua"/>
          <w:color w:val="0D0D0D"/>
          <w:sz w:val="24"/>
          <w:szCs w:val="24"/>
          <w:lang w:val="en-ID"/>
        </w:rPr>
        <w:t xml:space="preserve">, </w:t>
      </w:r>
      <w:r w:rsidR="004F3C11" w:rsidRPr="00B84DC4">
        <w:rPr>
          <w:rFonts w:ascii="Book Antiqua" w:hAnsi="Book Antiqua"/>
          <w:color w:val="0D0D0D"/>
          <w:sz w:val="24"/>
          <w:szCs w:val="24"/>
          <w:lang w:val="en-ID"/>
        </w:rPr>
        <w:t>misalnya</w:t>
      </w:r>
      <w:r w:rsidR="00E46846" w:rsidRPr="00B84DC4">
        <w:rPr>
          <w:rFonts w:ascii="Book Antiqua" w:hAnsi="Book Antiqua"/>
          <w:color w:val="0D0D0D"/>
          <w:sz w:val="24"/>
          <w:szCs w:val="24"/>
          <w:lang w:val="en-ID"/>
        </w:rPr>
        <w:t xml:space="preserve"> </w:t>
      </w:r>
      <w:r w:rsidR="004F3C11" w:rsidRPr="00B84DC4">
        <w:rPr>
          <w:rFonts w:ascii="Book Antiqua" w:hAnsi="Book Antiqua"/>
          <w:color w:val="0D0D0D"/>
          <w:sz w:val="24"/>
          <w:szCs w:val="24"/>
          <w:lang w:val="en-ID"/>
        </w:rPr>
        <w:t>pemberian pupuk organik atau ketersediaan N tanah awal dapat mengubah besar fiksasi dan akumulasi N akar, yang menjelaskan variasi kadar N antar lokasi penelitian</w:t>
      </w:r>
      <w:r w:rsidR="009547C6" w:rsidRPr="00B84DC4">
        <w:rPr>
          <w:rFonts w:ascii="Book Antiqua" w:hAnsi="Book Antiqua"/>
          <w:color w:val="0D0D0D"/>
          <w:sz w:val="24"/>
          <w:szCs w:val="24"/>
        </w:rPr>
        <w:t xml:space="preserve"> (Lutfia </w:t>
      </w:r>
      <w:r w:rsidR="009547C6" w:rsidRPr="00B84DC4">
        <w:rPr>
          <w:rFonts w:ascii="Book Antiqua" w:hAnsi="Book Antiqua"/>
          <w:i/>
          <w:iCs/>
          <w:color w:val="0D0D0D"/>
          <w:sz w:val="24"/>
          <w:szCs w:val="24"/>
        </w:rPr>
        <w:t>et al.,</w:t>
      </w:r>
      <w:r w:rsidR="009547C6" w:rsidRPr="00B84DC4">
        <w:rPr>
          <w:rFonts w:ascii="Book Antiqua" w:hAnsi="Book Antiqua"/>
          <w:color w:val="0D0D0D"/>
          <w:sz w:val="24"/>
          <w:szCs w:val="24"/>
        </w:rPr>
        <w:t xml:space="preserve"> 2025).</w:t>
      </w:r>
      <w:r w:rsidR="008E7940" w:rsidRPr="00B84DC4">
        <w:rPr>
          <w:rFonts w:ascii="Book Antiqua" w:hAnsi="Book Antiqua"/>
          <w:color w:val="0D0D0D"/>
          <w:sz w:val="24"/>
          <w:szCs w:val="24"/>
        </w:rPr>
        <w:t xml:space="preserve"> </w:t>
      </w:r>
      <w:r w:rsidR="008E7940" w:rsidRPr="00B84DC4">
        <w:rPr>
          <w:rFonts w:ascii="Book Antiqua" w:hAnsi="Book Antiqua"/>
          <w:color w:val="0D0D0D"/>
          <w:sz w:val="24"/>
          <w:szCs w:val="24"/>
          <w:lang w:val="en-ID"/>
        </w:rPr>
        <w:t xml:space="preserve">Selain itu, karakterisasi isolat </w:t>
      </w:r>
      <w:r w:rsidR="008E7940" w:rsidRPr="00B84DC4">
        <w:rPr>
          <w:rFonts w:ascii="Book Antiqua" w:hAnsi="Book Antiqua"/>
          <w:i/>
          <w:iCs/>
          <w:color w:val="0D0D0D"/>
          <w:sz w:val="24"/>
          <w:szCs w:val="24"/>
          <w:lang w:val="en-ID"/>
        </w:rPr>
        <w:t>Rhizobium</w:t>
      </w:r>
      <w:r w:rsidR="008E7940" w:rsidRPr="00B84DC4">
        <w:rPr>
          <w:rFonts w:ascii="Book Antiqua" w:hAnsi="Book Antiqua"/>
          <w:color w:val="0D0D0D"/>
          <w:sz w:val="24"/>
          <w:szCs w:val="24"/>
          <w:lang w:val="en-ID"/>
        </w:rPr>
        <w:t xml:space="preserve"> lokal dari bintil akar tanaman legum, yaitu kacang tanah (</w:t>
      </w:r>
      <w:r w:rsidR="008E7940" w:rsidRPr="00B84DC4">
        <w:rPr>
          <w:rFonts w:ascii="Book Antiqua" w:hAnsi="Book Antiqua"/>
          <w:i/>
          <w:iCs/>
          <w:color w:val="0D0D0D"/>
          <w:sz w:val="24"/>
          <w:szCs w:val="24"/>
          <w:lang w:val="en-ID"/>
        </w:rPr>
        <w:t>Arachis hypogaea</w:t>
      </w:r>
      <w:r w:rsidR="008E7940" w:rsidRPr="00B84DC4">
        <w:rPr>
          <w:rFonts w:ascii="Book Antiqua" w:hAnsi="Book Antiqua"/>
          <w:color w:val="0D0D0D"/>
          <w:sz w:val="24"/>
          <w:szCs w:val="24"/>
          <w:lang w:val="en-ID"/>
        </w:rPr>
        <w:t>) dan koro rawe (</w:t>
      </w:r>
      <w:r w:rsidR="008E7940" w:rsidRPr="00B84DC4">
        <w:rPr>
          <w:rFonts w:ascii="Book Antiqua" w:hAnsi="Book Antiqua"/>
          <w:i/>
          <w:iCs/>
          <w:color w:val="0D0D0D"/>
          <w:sz w:val="24"/>
          <w:szCs w:val="24"/>
          <w:lang w:val="en-ID"/>
        </w:rPr>
        <w:t>Mucuna bracteata</w:t>
      </w:r>
      <w:r w:rsidR="008E7940" w:rsidRPr="00B84DC4">
        <w:rPr>
          <w:rFonts w:ascii="Book Antiqua" w:hAnsi="Book Antiqua"/>
          <w:color w:val="0D0D0D"/>
          <w:sz w:val="24"/>
          <w:szCs w:val="24"/>
          <w:lang w:val="en-ID"/>
        </w:rPr>
        <w:t>), menunjukkan adanya perbedaan kemampuan fiksasi antar</w:t>
      </w:r>
      <w:r w:rsidR="00DE7B92" w:rsidRPr="00B84DC4">
        <w:rPr>
          <w:rFonts w:ascii="Book Antiqua" w:hAnsi="Book Antiqua"/>
          <w:color w:val="0D0D0D"/>
          <w:sz w:val="24"/>
          <w:szCs w:val="24"/>
          <w:lang w:val="en-ID"/>
        </w:rPr>
        <w:t xml:space="preserve"> </w:t>
      </w:r>
      <w:r w:rsidR="008E7940" w:rsidRPr="00B84DC4">
        <w:rPr>
          <w:rFonts w:ascii="Book Antiqua" w:hAnsi="Book Antiqua"/>
          <w:color w:val="0D0D0D"/>
          <w:sz w:val="24"/>
          <w:szCs w:val="24"/>
          <w:lang w:val="en-ID"/>
        </w:rPr>
        <w:t>isolat. Beberapa isolat dengan aktivitas pelarutan fosfat tertinggi berasal dari bintil akar kacang tanah. Isolat tersebut terbukti mampu melakukan fiksasi N</w:t>
      </w:r>
      <w:r w:rsidR="008E7940" w:rsidRPr="00B84DC4">
        <w:rPr>
          <w:rFonts w:ascii="Cambria Math" w:hAnsi="Cambria Math" w:cs="Cambria Math"/>
          <w:color w:val="0D0D0D"/>
          <w:sz w:val="24"/>
          <w:szCs w:val="24"/>
          <w:lang w:val="en-ID"/>
        </w:rPr>
        <w:t>₂</w:t>
      </w:r>
      <w:r w:rsidR="008E7940" w:rsidRPr="00B84DC4">
        <w:rPr>
          <w:rFonts w:ascii="Book Antiqua" w:hAnsi="Book Antiqua"/>
          <w:color w:val="0D0D0D"/>
          <w:sz w:val="24"/>
          <w:szCs w:val="24"/>
          <w:lang w:val="en-ID"/>
        </w:rPr>
        <w:t xml:space="preserve"> sekaligus melarutkan fosfat, sehingga berpotensi dimanfaatkan dalam bidang pertanian sebagai alternatif pengganti pupuk anorganik (Suryanti </w:t>
      </w:r>
      <w:r w:rsidR="008E7940" w:rsidRPr="00B84DC4">
        <w:rPr>
          <w:rFonts w:ascii="Book Antiqua" w:hAnsi="Book Antiqua"/>
          <w:i/>
          <w:iCs/>
          <w:color w:val="0D0D0D"/>
          <w:sz w:val="24"/>
          <w:szCs w:val="24"/>
          <w:lang w:val="en-ID"/>
        </w:rPr>
        <w:t>et al</w:t>
      </w:r>
      <w:r w:rsidR="008E7940" w:rsidRPr="00B84DC4">
        <w:rPr>
          <w:rFonts w:ascii="Book Antiqua" w:hAnsi="Book Antiqua"/>
          <w:color w:val="0D0D0D"/>
          <w:sz w:val="24"/>
          <w:szCs w:val="24"/>
          <w:lang w:val="en-ID"/>
        </w:rPr>
        <w:t>., 2024).</w:t>
      </w:r>
    </w:p>
    <w:p w14:paraId="1EDDA768" w14:textId="63BE47D6" w:rsidR="008E7940" w:rsidRPr="00B84DC4" w:rsidRDefault="008E7940" w:rsidP="008E7940">
      <w:pPr>
        <w:spacing w:after="0"/>
        <w:ind w:firstLine="709"/>
        <w:jc w:val="both"/>
        <w:rPr>
          <w:rFonts w:ascii="Book Antiqua" w:hAnsi="Book Antiqua"/>
          <w:color w:val="0D0D0D"/>
          <w:sz w:val="24"/>
          <w:szCs w:val="24"/>
        </w:rPr>
      </w:pPr>
      <w:r w:rsidRPr="00B84DC4">
        <w:rPr>
          <w:rFonts w:ascii="Book Antiqua" w:hAnsi="Book Antiqua"/>
          <w:color w:val="0D0D0D"/>
          <w:sz w:val="24"/>
          <w:szCs w:val="24"/>
          <w:lang w:val="en-ID"/>
        </w:rPr>
        <w:t xml:space="preserve">Temuan ini menunjukkan bahwa efektivitas simbiosis sangat dipengaruhi oleh sifat mikroba lokal yang hidup di dalam bintil akar, bukan semata-mata oleh jenis tanamannya. Dengan demikian, akumulasi nitrogen yang lebih tinggi pada akar tanaman legum dalam penelitian ini kemungkinan besar diperkuat oleh simbiosis yang efektif dengan </w:t>
      </w:r>
      <w:r w:rsidRPr="00B84DC4">
        <w:rPr>
          <w:rFonts w:ascii="Book Antiqua" w:hAnsi="Book Antiqua"/>
          <w:i/>
          <w:iCs/>
          <w:color w:val="0D0D0D"/>
          <w:sz w:val="24"/>
          <w:szCs w:val="24"/>
          <w:lang w:val="en-ID"/>
        </w:rPr>
        <w:t>Rhizobium</w:t>
      </w:r>
      <w:r w:rsidRPr="00B84DC4">
        <w:rPr>
          <w:rFonts w:ascii="Book Antiqua" w:hAnsi="Book Antiqua"/>
          <w:color w:val="0D0D0D"/>
          <w:sz w:val="24"/>
          <w:szCs w:val="24"/>
          <w:lang w:val="en-ID"/>
        </w:rPr>
        <w:t>. Variasi kadar nitrogen antarpenelitian dapat dipengaruhi oleh perbedaan isolat bakteri, kondisi tanah, serta praktik agronomi. Secara keseluruhan, hasil ini menegaskan potensi tanaman legum sebagai penyumbang nitrogen biologis yang penting dalam sistem pertanian berkelanjutan.</w:t>
      </w:r>
    </w:p>
    <w:p w14:paraId="1769FFF5" w14:textId="77777777" w:rsidR="009547C6" w:rsidRPr="00B84DC4" w:rsidRDefault="009547C6" w:rsidP="00392324">
      <w:pPr>
        <w:spacing w:after="0"/>
        <w:jc w:val="both"/>
        <w:rPr>
          <w:rFonts w:ascii="Book Antiqua" w:hAnsi="Book Antiqua"/>
          <w:color w:val="0D0D0D"/>
          <w:sz w:val="24"/>
          <w:szCs w:val="24"/>
        </w:rPr>
      </w:pPr>
    </w:p>
    <w:p w14:paraId="47ED62FC" w14:textId="67BD8009" w:rsidR="00392324" w:rsidRPr="00B84DC4" w:rsidRDefault="00392324" w:rsidP="00B15595">
      <w:pPr>
        <w:pStyle w:val="ListParagraph"/>
        <w:numPr>
          <w:ilvl w:val="0"/>
          <w:numId w:val="1"/>
        </w:numPr>
        <w:spacing w:after="240"/>
        <w:ind w:left="284" w:hanging="284"/>
        <w:jc w:val="both"/>
        <w:rPr>
          <w:rFonts w:ascii="Book Antiqua" w:hAnsi="Book Antiqua"/>
          <w:b/>
          <w:noProof/>
        </w:rPr>
      </w:pPr>
      <w:r w:rsidRPr="00B84DC4">
        <w:rPr>
          <w:rFonts w:ascii="Book Antiqua" w:hAnsi="Book Antiqua"/>
          <w:b/>
          <w:noProof/>
        </w:rPr>
        <w:t>Kesimpula</w:t>
      </w:r>
      <w:r w:rsidR="008E7940" w:rsidRPr="00B84DC4">
        <w:rPr>
          <w:rFonts w:ascii="Book Antiqua" w:hAnsi="Book Antiqua"/>
          <w:b/>
          <w:noProof/>
        </w:rPr>
        <w:t>n</w:t>
      </w:r>
    </w:p>
    <w:p w14:paraId="78FB3AE8" w14:textId="25141289" w:rsidR="00392324" w:rsidRPr="00B84DC4" w:rsidRDefault="00392324" w:rsidP="00B15595">
      <w:pPr>
        <w:pStyle w:val="CommentText"/>
        <w:spacing w:after="0" w:line="276" w:lineRule="auto"/>
        <w:ind w:firstLine="720"/>
        <w:jc w:val="both"/>
        <w:rPr>
          <w:rFonts w:ascii="Book Antiqua" w:hAnsi="Book Antiqua"/>
          <w:sz w:val="24"/>
          <w:szCs w:val="24"/>
        </w:rPr>
      </w:pPr>
      <w:r w:rsidRPr="00B84DC4">
        <w:rPr>
          <w:rFonts w:ascii="Book Antiqua" w:hAnsi="Book Antiqua"/>
          <w:sz w:val="24"/>
          <w:szCs w:val="24"/>
        </w:rPr>
        <w:t xml:space="preserve">Kadar nitrogen pada tanaman legum </w:t>
      </w:r>
      <w:r w:rsidRPr="00B84DC4">
        <w:rPr>
          <w:rFonts w:ascii="Book Antiqua" w:hAnsi="Book Antiqua"/>
          <w:sz w:val="24"/>
          <w:szCs w:val="24"/>
          <w:shd w:val="clear" w:color="auto" w:fill="FFFFFF"/>
          <w:lang w:val="en-US"/>
        </w:rPr>
        <w:t xml:space="preserve">lebih tinggi </w:t>
      </w:r>
      <w:r w:rsidRPr="00B84DC4">
        <w:rPr>
          <w:rFonts w:ascii="Book Antiqua" w:hAnsi="Book Antiqua"/>
          <w:sz w:val="24"/>
          <w:szCs w:val="24"/>
        </w:rPr>
        <w:t>dibandingkan tanaman no</w:t>
      </w:r>
      <w:r w:rsidR="008E7940" w:rsidRPr="00B84DC4">
        <w:rPr>
          <w:rFonts w:ascii="Book Antiqua" w:hAnsi="Book Antiqua"/>
          <w:sz w:val="24"/>
          <w:szCs w:val="24"/>
        </w:rPr>
        <w:t>n</w:t>
      </w:r>
      <w:r w:rsidRPr="00B84DC4">
        <w:rPr>
          <w:rFonts w:ascii="Book Antiqua" w:hAnsi="Book Antiqua"/>
          <w:sz w:val="24"/>
          <w:szCs w:val="24"/>
        </w:rPr>
        <w:t>legum</w:t>
      </w:r>
      <w:r w:rsidRPr="00B84DC4">
        <w:rPr>
          <w:rFonts w:ascii="Book Antiqua" w:hAnsi="Book Antiqua"/>
          <w:sz w:val="24"/>
          <w:szCs w:val="24"/>
          <w:shd w:val="clear" w:color="auto" w:fill="FFFFFF"/>
          <w:lang w:val="en-US"/>
        </w:rPr>
        <w:t>, dengan nilai masing-masing</w:t>
      </w:r>
      <w:r w:rsidRPr="00B84DC4">
        <w:rPr>
          <w:rFonts w:ascii="Book Antiqua" w:hAnsi="Book Antiqua"/>
          <w:sz w:val="24"/>
          <w:szCs w:val="24"/>
          <w:shd w:val="clear" w:color="auto" w:fill="FFFFFF"/>
        </w:rPr>
        <w:t xml:space="preserve"> untuk tanaman legum 6,82% dan 5,06% serta tanaman nonlegum 4,42%. </w:t>
      </w:r>
      <w:r w:rsidRPr="00B84DC4">
        <w:rPr>
          <w:rFonts w:ascii="Book Antiqua" w:hAnsi="Book Antiqua"/>
          <w:sz w:val="24"/>
          <w:szCs w:val="24"/>
        </w:rPr>
        <w:t xml:space="preserve">Hal ini menunjukkan bahwa tanaman legum berpotensi menyuplai nitrogen ke dalam tanah, sehingga kebutuhan nitrogen pada tanaman dapat tercukupi secara alami dan mengurangi ketergantungan pada pupuk anorganik. Tanaman legum dapat berpotensi sebagai penyuplai unsur nitrogen dalam tanah karena kemampuan fiksasi nitrogen yang </w:t>
      </w:r>
      <w:r w:rsidR="00A54D88" w:rsidRPr="00B84DC4">
        <w:rPr>
          <w:rFonts w:ascii="Book Antiqua" w:hAnsi="Book Antiqua"/>
          <w:sz w:val="24"/>
          <w:szCs w:val="24"/>
        </w:rPr>
        <w:t>dilaksanakan</w:t>
      </w:r>
      <w:r w:rsidRPr="00B84DC4">
        <w:rPr>
          <w:rFonts w:ascii="Book Antiqua" w:hAnsi="Book Antiqua"/>
          <w:sz w:val="24"/>
          <w:szCs w:val="24"/>
        </w:rPr>
        <w:t xml:space="preserve"> oleh bakteri </w:t>
      </w:r>
      <w:r w:rsidRPr="00B84DC4">
        <w:rPr>
          <w:rFonts w:ascii="Book Antiqua" w:hAnsi="Book Antiqua"/>
          <w:i/>
          <w:sz w:val="24"/>
          <w:szCs w:val="24"/>
        </w:rPr>
        <w:t>Rhizobium</w:t>
      </w:r>
      <w:r w:rsidRPr="00B84DC4">
        <w:rPr>
          <w:rFonts w:ascii="Book Antiqua" w:hAnsi="Book Antiqua"/>
          <w:sz w:val="24"/>
          <w:szCs w:val="24"/>
        </w:rPr>
        <w:t xml:space="preserve"> pada bintil akarnya.</w:t>
      </w:r>
    </w:p>
    <w:p w14:paraId="590FBC8F" w14:textId="77777777" w:rsidR="00392324" w:rsidRPr="00B84DC4" w:rsidRDefault="00392324" w:rsidP="00392324">
      <w:pPr>
        <w:pStyle w:val="CommentText"/>
        <w:spacing w:after="0" w:line="276" w:lineRule="auto"/>
        <w:ind w:firstLine="709"/>
        <w:jc w:val="both"/>
        <w:rPr>
          <w:rFonts w:ascii="Book Antiqua" w:hAnsi="Book Antiqua"/>
          <w:sz w:val="24"/>
          <w:szCs w:val="24"/>
        </w:rPr>
      </w:pPr>
    </w:p>
    <w:p w14:paraId="4BC1918A" w14:textId="77777777" w:rsidR="00392324" w:rsidRPr="00B84DC4" w:rsidRDefault="00392324" w:rsidP="00392324">
      <w:pPr>
        <w:spacing w:after="240" w:line="240" w:lineRule="auto"/>
        <w:jc w:val="both"/>
        <w:rPr>
          <w:rFonts w:ascii="Book Antiqua" w:hAnsi="Book Antiqua" w:cs="Times New Roman"/>
          <w:b/>
          <w:bCs/>
          <w:sz w:val="24"/>
          <w:szCs w:val="24"/>
          <w:lang w:val="sv-SE"/>
        </w:rPr>
      </w:pPr>
      <w:r w:rsidRPr="00B84DC4">
        <w:rPr>
          <w:rFonts w:ascii="Book Antiqua" w:hAnsi="Book Antiqua" w:cs="Times New Roman"/>
          <w:b/>
          <w:bCs/>
          <w:sz w:val="24"/>
          <w:szCs w:val="24"/>
          <w:lang w:val="sv-SE"/>
        </w:rPr>
        <w:t>Ucapan Terima Kasih</w:t>
      </w:r>
    </w:p>
    <w:p w14:paraId="5BF941EF" w14:textId="77777777" w:rsidR="00392324" w:rsidRPr="00B84DC4" w:rsidRDefault="00392324" w:rsidP="00392324">
      <w:pPr>
        <w:spacing w:after="240"/>
        <w:jc w:val="both"/>
        <w:rPr>
          <w:rFonts w:ascii="Book Antiqua" w:hAnsi="Book Antiqua" w:cs="Times New Roman"/>
          <w:b/>
          <w:bCs/>
          <w:sz w:val="24"/>
          <w:szCs w:val="24"/>
          <w:lang w:val="sv-SE"/>
        </w:rPr>
      </w:pPr>
      <w:r w:rsidRPr="00B84DC4">
        <w:rPr>
          <w:rFonts w:ascii="Book Antiqua" w:hAnsi="Book Antiqua" w:cs="Times New Roman"/>
          <w:sz w:val="24"/>
          <w:szCs w:val="24"/>
          <w:lang w:val="sv-SE"/>
        </w:rPr>
        <w:t>Terima kasih penulis kepada Balai Penerapan Standar Instrumen Pertanian (BPSIP) Sumatera Utara.</w:t>
      </w:r>
    </w:p>
    <w:p w14:paraId="016F9869" w14:textId="77777777" w:rsidR="008E7940" w:rsidRPr="00B84DC4" w:rsidRDefault="008E7940" w:rsidP="00392324">
      <w:pPr>
        <w:spacing w:after="240" w:line="240" w:lineRule="auto"/>
        <w:jc w:val="both"/>
        <w:rPr>
          <w:rFonts w:ascii="Book Antiqua" w:hAnsi="Book Antiqua" w:cs="Times New Roman"/>
          <w:b/>
          <w:bCs/>
          <w:sz w:val="24"/>
          <w:szCs w:val="24"/>
          <w:lang w:val="sv-SE"/>
        </w:rPr>
      </w:pPr>
    </w:p>
    <w:p w14:paraId="04634FC2" w14:textId="43C54186" w:rsidR="00392324" w:rsidRPr="00B84DC4" w:rsidRDefault="00392324" w:rsidP="00392324">
      <w:pPr>
        <w:spacing w:after="240" w:line="240" w:lineRule="auto"/>
        <w:jc w:val="both"/>
        <w:rPr>
          <w:rFonts w:ascii="Book Antiqua" w:hAnsi="Book Antiqua" w:cs="Times New Roman"/>
          <w:b/>
          <w:bCs/>
          <w:sz w:val="24"/>
          <w:szCs w:val="24"/>
          <w:lang w:val="sv-SE"/>
        </w:rPr>
      </w:pPr>
      <w:r w:rsidRPr="00B84DC4">
        <w:rPr>
          <w:rFonts w:ascii="Book Antiqua" w:hAnsi="Book Antiqua" w:cs="Times New Roman"/>
          <w:b/>
          <w:bCs/>
          <w:sz w:val="24"/>
          <w:szCs w:val="24"/>
          <w:lang w:val="sv-SE"/>
        </w:rPr>
        <w:t>Daftar Pustaka</w:t>
      </w:r>
    </w:p>
    <w:p w14:paraId="6454062A" w14:textId="1DB0B748"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Darma, S. U. R. Y. A., Dhonanto, D. O. N. N. Y., &amp; Hasibuan, A. S. 2022. Analisis kandungan N-total dan pH tanah yang ditanami Leguminosae Cover Crops (LCC) pada umur tanam serta dosis pengapuran berbeda. </w:t>
      </w:r>
      <w:r w:rsidRPr="00B84DC4">
        <w:rPr>
          <w:rFonts w:ascii="Book Antiqua" w:hAnsi="Book Antiqua" w:cs="Times New Roman"/>
          <w:i/>
          <w:iCs/>
          <w:noProof/>
          <w:sz w:val="24"/>
          <w:szCs w:val="24"/>
          <w:lang w:val="en-ID"/>
        </w:rPr>
        <w:t xml:space="preserve">Jurnal </w:t>
      </w:r>
      <w:r w:rsidRPr="00B84DC4">
        <w:rPr>
          <w:rFonts w:ascii="Book Antiqua" w:hAnsi="Book Antiqua" w:cs="Times New Roman"/>
          <w:i/>
          <w:iCs/>
          <w:noProof/>
          <w:sz w:val="24"/>
          <w:szCs w:val="24"/>
          <w:lang w:val="en-ID"/>
        </w:rPr>
        <w:lastRenderedPageBreak/>
        <w:t>Agroekoteknologi Tropika Lembab, 4</w:t>
      </w:r>
      <w:r w:rsidRPr="00B84DC4">
        <w:rPr>
          <w:rFonts w:ascii="Book Antiqua" w:hAnsi="Book Antiqua" w:cs="Times New Roman"/>
          <w:noProof/>
          <w:sz w:val="24"/>
          <w:szCs w:val="24"/>
          <w:lang w:val="en-ID"/>
        </w:rPr>
        <w:t>(2), 75–80.</w:t>
      </w:r>
    </w:p>
    <w:p w14:paraId="26EADBAD" w14:textId="1910E855" w:rsidR="00A94844" w:rsidRPr="00B84DC4" w:rsidRDefault="00A94844" w:rsidP="00A94844">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Handayani, F., &amp; Tojang, D. 2023. The Growth Response and Yield of Cucumber (</w:t>
      </w:r>
      <w:r w:rsidRPr="00B84DC4">
        <w:rPr>
          <w:rFonts w:ascii="Book Antiqua" w:hAnsi="Book Antiqua" w:cs="Times New Roman"/>
          <w:i/>
          <w:noProof/>
          <w:sz w:val="24"/>
          <w:szCs w:val="24"/>
          <w:lang w:val="en-ID"/>
        </w:rPr>
        <w:t>Cucumis sativus</w:t>
      </w:r>
      <w:r w:rsidRPr="00B84DC4">
        <w:rPr>
          <w:rFonts w:ascii="Book Antiqua" w:hAnsi="Book Antiqua" w:cs="Times New Roman"/>
          <w:noProof/>
          <w:sz w:val="24"/>
          <w:szCs w:val="24"/>
          <w:lang w:val="en-ID"/>
        </w:rPr>
        <w:t xml:space="preserve"> L.) Fertilizing in Various Doses. </w:t>
      </w:r>
      <w:r w:rsidRPr="00B84DC4">
        <w:rPr>
          <w:rFonts w:ascii="Book Antiqua" w:hAnsi="Book Antiqua" w:cs="Times New Roman"/>
          <w:i/>
          <w:noProof/>
          <w:sz w:val="24"/>
          <w:szCs w:val="24"/>
          <w:lang w:val="en-ID"/>
        </w:rPr>
        <w:t>Jurnal Biologi Tropis</w:t>
      </w:r>
      <w:r w:rsidRPr="00B84DC4">
        <w:rPr>
          <w:rFonts w:ascii="Book Antiqua" w:hAnsi="Book Antiqua" w:cs="Times New Roman"/>
          <w:noProof/>
          <w:sz w:val="24"/>
          <w:szCs w:val="24"/>
          <w:lang w:val="en-ID"/>
        </w:rPr>
        <w:t>, 23(1), 9-14.</w:t>
      </w:r>
    </w:p>
    <w:p w14:paraId="1364FB2D" w14:textId="0BA65D21"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Hermawati, T. A., Fajarwati, I. F., &amp; Widada, S. 2021. Analisis kadar nitrogen total pada pupuk padat dengan metode Kjeldahl di Balai Pengkajian Teknologi Pertanian (BPTP) Yogyakarta. </w:t>
      </w:r>
      <w:r w:rsidRPr="00B84DC4">
        <w:rPr>
          <w:rFonts w:ascii="Book Antiqua" w:hAnsi="Book Antiqua" w:cs="Times New Roman"/>
          <w:i/>
          <w:iCs/>
          <w:noProof/>
          <w:sz w:val="24"/>
          <w:szCs w:val="24"/>
          <w:lang w:val="en-ID"/>
        </w:rPr>
        <w:t>Indonesian Journal of Chemical Research, 6</w:t>
      </w:r>
      <w:r w:rsidRPr="00B84DC4">
        <w:rPr>
          <w:rFonts w:ascii="Book Antiqua" w:hAnsi="Book Antiqua" w:cs="Times New Roman"/>
          <w:noProof/>
          <w:sz w:val="24"/>
          <w:szCs w:val="24"/>
          <w:lang w:val="en-ID"/>
        </w:rPr>
        <w:t>(2), 80–91.</w:t>
      </w:r>
    </w:p>
    <w:p w14:paraId="2404AA57" w14:textId="6908CB84"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Julia, H., Nasution, N., Sulistiani, R., Ketaren, B. R., &amp; Cemda, A. R. 2023. Pengaruh pemberian pupuk nitrogen dua varietas terhadap pertumbuhan dan hasil daun kenikir (</w:t>
      </w:r>
      <w:r w:rsidRPr="00B84DC4">
        <w:rPr>
          <w:rFonts w:ascii="Book Antiqua" w:hAnsi="Book Antiqua" w:cs="Times New Roman"/>
          <w:i/>
          <w:noProof/>
          <w:sz w:val="24"/>
          <w:szCs w:val="24"/>
          <w:lang w:val="en-ID"/>
        </w:rPr>
        <w:t>Cosmos sp</w:t>
      </w:r>
      <w:r w:rsidRPr="00B84DC4">
        <w:rPr>
          <w:rFonts w:ascii="Book Antiqua" w:hAnsi="Book Antiqua" w:cs="Times New Roman"/>
          <w:noProof/>
          <w:sz w:val="24"/>
          <w:szCs w:val="24"/>
          <w:lang w:val="en-ID"/>
        </w:rPr>
        <w:t xml:space="preserve">). </w:t>
      </w:r>
      <w:r w:rsidRPr="00B84DC4">
        <w:rPr>
          <w:rFonts w:ascii="Book Antiqua" w:hAnsi="Book Antiqua" w:cs="Times New Roman"/>
          <w:i/>
          <w:iCs/>
          <w:noProof/>
          <w:sz w:val="24"/>
          <w:szCs w:val="24"/>
          <w:lang w:val="en-ID"/>
        </w:rPr>
        <w:t>Jurnal SOMASI (Sosial Humaniora Komunikasi), 4</w:t>
      </w:r>
      <w:r w:rsidRPr="00B84DC4">
        <w:rPr>
          <w:rFonts w:ascii="Book Antiqua" w:hAnsi="Book Antiqua" w:cs="Times New Roman"/>
          <w:noProof/>
          <w:sz w:val="24"/>
          <w:szCs w:val="24"/>
          <w:lang w:val="en-ID"/>
        </w:rPr>
        <w:t>(1), 49–67.</w:t>
      </w:r>
    </w:p>
    <w:p w14:paraId="62079FE6" w14:textId="341FA1DC"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Lutfia, N., Nurmi, N., Azis, M. A., &amp; Arsyad, S. 2025. Kadar hara nitrogen (N-total) dengan perlakuan pupuk organik dan korelasinya terhadap pertumbuhan dan hasil tanaman kacang tanah (</w:t>
      </w:r>
      <w:r w:rsidRPr="00B84DC4">
        <w:rPr>
          <w:rFonts w:ascii="Book Antiqua" w:hAnsi="Book Antiqua" w:cs="Times New Roman"/>
          <w:i/>
          <w:noProof/>
          <w:sz w:val="24"/>
          <w:szCs w:val="24"/>
          <w:lang w:val="en-ID"/>
        </w:rPr>
        <w:t>Arachis hypogaea</w:t>
      </w:r>
      <w:r w:rsidRPr="00B84DC4">
        <w:rPr>
          <w:rFonts w:ascii="Book Antiqua" w:hAnsi="Book Antiqua" w:cs="Times New Roman"/>
          <w:noProof/>
          <w:sz w:val="24"/>
          <w:szCs w:val="24"/>
          <w:lang w:val="en-ID"/>
        </w:rPr>
        <w:t xml:space="preserve"> L.). </w:t>
      </w:r>
      <w:r w:rsidRPr="00B84DC4">
        <w:rPr>
          <w:rFonts w:ascii="Book Antiqua" w:hAnsi="Book Antiqua" w:cs="Times New Roman"/>
          <w:i/>
          <w:iCs/>
          <w:noProof/>
          <w:sz w:val="24"/>
          <w:szCs w:val="24"/>
          <w:lang w:val="en-ID"/>
        </w:rPr>
        <w:t>JATT, 14</w:t>
      </w:r>
      <w:r w:rsidRPr="00B84DC4">
        <w:rPr>
          <w:rFonts w:ascii="Book Antiqua" w:hAnsi="Book Antiqua" w:cs="Times New Roman"/>
          <w:noProof/>
          <w:sz w:val="24"/>
          <w:szCs w:val="24"/>
          <w:lang w:val="en-ID"/>
        </w:rPr>
        <w:t>(1), 15–22.</w:t>
      </w:r>
    </w:p>
    <w:p w14:paraId="598E21A8" w14:textId="29D5AB10"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Meitasari, A. D., &amp; Wicaksono, K. P. 2017. Inokulasi Rhizobium dan perimbangan nitrogen pada tanaman kedelai (</w:t>
      </w:r>
      <w:r w:rsidRPr="00B84DC4">
        <w:rPr>
          <w:rFonts w:ascii="Book Antiqua" w:hAnsi="Book Antiqua" w:cs="Times New Roman"/>
          <w:i/>
          <w:noProof/>
          <w:sz w:val="24"/>
          <w:szCs w:val="24"/>
          <w:lang w:val="en-ID"/>
        </w:rPr>
        <w:t>Glycine max</w:t>
      </w:r>
      <w:r w:rsidRPr="00B84DC4">
        <w:rPr>
          <w:rFonts w:ascii="Book Antiqua" w:hAnsi="Book Antiqua" w:cs="Times New Roman"/>
          <w:noProof/>
          <w:sz w:val="24"/>
          <w:szCs w:val="24"/>
          <w:lang w:val="en-ID"/>
        </w:rPr>
        <w:t xml:space="preserve"> (L) Merrill) varietas Wilis. </w:t>
      </w:r>
      <w:r w:rsidRPr="00B84DC4">
        <w:rPr>
          <w:rFonts w:ascii="Book Antiqua" w:hAnsi="Book Antiqua" w:cs="Times New Roman"/>
          <w:i/>
          <w:iCs/>
          <w:noProof/>
          <w:sz w:val="24"/>
          <w:szCs w:val="24"/>
          <w:lang w:val="en-ID"/>
        </w:rPr>
        <w:t>Plantropica Journal of Agricultural Science, 2</w:t>
      </w:r>
      <w:r w:rsidRPr="00B84DC4">
        <w:rPr>
          <w:rFonts w:ascii="Book Antiqua" w:hAnsi="Book Antiqua" w:cs="Times New Roman"/>
          <w:noProof/>
          <w:sz w:val="24"/>
          <w:szCs w:val="24"/>
          <w:lang w:val="en-ID"/>
        </w:rPr>
        <w:t>(1), 55–63.</w:t>
      </w:r>
    </w:p>
    <w:p w14:paraId="13CE9558" w14:textId="7BFF074C" w:rsidR="00A94844" w:rsidRPr="00B84DC4" w:rsidRDefault="00A94844"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Murnita, M., &amp; Taher, Y. A. 2021. Dampak pupuk organik dan anorganik terhadap perubahan sifat kimia tanah dan produksi tanaman padi (</w:t>
      </w:r>
      <w:r w:rsidRPr="00B84DC4">
        <w:rPr>
          <w:rFonts w:ascii="Book Antiqua" w:hAnsi="Book Antiqua" w:cs="Times New Roman"/>
          <w:i/>
          <w:noProof/>
          <w:sz w:val="24"/>
          <w:szCs w:val="24"/>
          <w:lang w:val="en-ID"/>
        </w:rPr>
        <w:t>Oriza sativa</w:t>
      </w:r>
      <w:r w:rsidRPr="00B84DC4">
        <w:rPr>
          <w:rFonts w:ascii="Book Antiqua" w:hAnsi="Book Antiqua" w:cs="Times New Roman"/>
          <w:noProof/>
          <w:sz w:val="24"/>
          <w:szCs w:val="24"/>
          <w:lang w:val="en-ID"/>
        </w:rPr>
        <w:t xml:space="preserve"> L.). </w:t>
      </w:r>
      <w:r w:rsidRPr="00B84DC4">
        <w:rPr>
          <w:rFonts w:ascii="Book Antiqua" w:hAnsi="Book Antiqua" w:cs="Times New Roman"/>
          <w:i/>
          <w:noProof/>
          <w:sz w:val="24"/>
          <w:szCs w:val="24"/>
          <w:lang w:val="en-ID"/>
        </w:rPr>
        <w:t>Menara Ilmu: Jurnal Penelitian dan Kajian Ilmiah</w:t>
      </w:r>
      <w:r w:rsidRPr="00B84DC4">
        <w:rPr>
          <w:rFonts w:ascii="Book Antiqua" w:hAnsi="Book Antiqua" w:cs="Times New Roman"/>
          <w:noProof/>
          <w:sz w:val="24"/>
          <w:szCs w:val="24"/>
          <w:lang w:val="en-ID"/>
        </w:rPr>
        <w:t>, 15(2).</w:t>
      </w:r>
    </w:p>
    <w:p w14:paraId="46B354DA" w14:textId="6B1F15F7" w:rsidR="0065029B" w:rsidRPr="00B84DC4" w:rsidRDefault="0065029B"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Nursanti, I., &amp; Supriyanto, R. 2022. Pertumbuhan Legume Cover Crops (</w:t>
      </w:r>
      <w:r w:rsidRPr="00B84DC4">
        <w:rPr>
          <w:rFonts w:ascii="Book Antiqua" w:hAnsi="Book Antiqua" w:cs="Times New Roman"/>
          <w:i/>
          <w:noProof/>
          <w:sz w:val="24"/>
          <w:szCs w:val="24"/>
          <w:lang w:val="en-ID"/>
        </w:rPr>
        <w:t>Puararia javanica</w:t>
      </w:r>
      <w:r w:rsidRPr="00B84DC4">
        <w:rPr>
          <w:rFonts w:ascii="Book Antiqua" w:hAnsi="Book Antiqua" w:cs="Times New Roman"/>
          <w:noProof/>
          <w:sz w:val="24"/>
          <w:szCs w:val="24"/>
          <w:lang w:val="en-ID"/>
        </w:rPr>
        <w:t xml:space="preserve">) Pada Tanah Pasca Penambangan Batubara Plus Zeolit. </w:t>
      </w:r>
      <w:r w:rsidRPr="00B84DC4">
        <w:rPr>
          <w:rFonts w:ascii="Book Antiqua" w:hAnsi="Book Antiqua" w:cs="Times New Roman"/>
          <w:i/>
          <w:noProof/>
          <w:sz w:val="24"/>
          <w:szCs w:val="24"/>
          <w:lang w:val="en-ID"/>
        </w:rPr>
        <w:t>Jurnal Media Pertanian</w:t>
      </w:r>
      <w:r w:rsidRPr="00B84DC4">
        <w:rPr>
          <w:rFonts w:ascii="Book Antiqua" w:hAnsi="Book Antiqua" w:cs="Times New Roman"/>
          <w:noProof/>
          <w:sz w:val="24"/>
          <w:szCs w:val="24"/>
          <w:lang w:val="en-ID"/>
        </w:rPr>
        <w:t>, 7(1), 7-10.</w:t>
      </w:r>
    </w:p>
    <w:p w14:paraId="3CAE0179" w14:textId="5C320AB2"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Pabela, M., Gubali, H., &amp; Ilahude, Z. 2024. The effect of Rhizobium inoculation and phosphate fertilizer on growth and yield of peanut (</w:t>
      </w:r>
      <w:r w:rsidRPr="00B84DC4">
        <w:rPr>
          <w:rFonts w:ascii="Book Antiqua" w:hAnsi="Book Antiqua" w:cs="Times New Roman"/>
          <w:i/>
          <w:iCs/>
          <w:noProof/>
          <w:sz w:val="24"/>
          <w:szCs w:val="24"/>
          <w:lang w:val="en-ID"/>
        </w:rPr>
        <w:t>Arachis hypogaea</w:t>
      </w:r>
      <w:r w:rsidRPr="00B84DC4">
        <w:rPr>
          <w:rFonts w:ascii="Book Antiqua" w:hAnsi="Book Antiqua" w:cs="Times New Roman"/>
          <w:noProof/>
          <w:sz w:val="24"/>
          <w:szCs w:val="24"/>
          <w:lang w:val="en-ID"/>
        </w:rPr>
        <w:t xml:space="preserve"> L.) Maryam. </w:t>
      </w:r>
      <w:r w:rsidRPr="00B84DC4">
        <w:rPr>
          <w:rFonts w:ascii="Book Antiqua" w:hAnsi="Book Antiqua" w:cs="Times New Roman"/>
          <w:i/>
          <w:iCs/>
          <w:noProof/>
          <w:sz w:val="24"/>
          <w:szCs w:val="24"/>
          <w:lang w:val="en-ID"/>
        </w:rPr>
        <w:t>Jurnal Agroteknotropika, 13</w:t>
      </w:r>
      <w:r w:rsidRPr="00B84DC4">
        <w:rPr>
          <w:rFonts w:ascii="Book Antiqua" w:hAnsi="Book Antiqua" w:cs="Times New Roman"/>
          <w:noProof/>
          <w:sz w:val="24"/>
          <w:szCs w:val="24"/>
          <w:lang w:val="en-ID"/>
        </w:rPr>
        <w:t>(1), 8–16.</w:t>
      </w:r>
    </w:p>
    <w:p w14:paraId="7A7B57D2" w14:textId="25D71751"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Rizkia, A., Linda, R., &amp; Zakiah, Z. 2022. Application of legume inoculum (legin) to the root nodules and peanut (</w:t>
      </w:r>
      <w:r w:rsidRPr="00B84DC4">
        <w:rPr>
          <w:rFonts w:ascii="Book Antiqua" w:hAnsi="Book Antiqua" w:cs="Times New Roman"/>
          <w:i/>
          <w:iCs/>
          <w:noProof/>
          <w:sz w:val="24"/>
          <w:szCs w:val="24"/>
          <w:lang w:val="en-ID"/>
        </w:rPr>
        <w:t>Arachis hypogaea</w:t>
      </w:r>
      <w:r w:rsidRPr="00B84DC4">
        <w:rPr>
          <w:rFonts w:ascii="Book Antiqua" w:hAnsi="Book Antiqua" w:cs="Times New Roman"/>
          <w:noProof/>
          <w:sz w:val="24"/>
          <w:szCs w:val="24"/>
          <w:lang w:val="en-ID"/>
        </w:rPr>
        <w:t xml:space="preserve"> L.) production on peat soil West Kalimantan. </w:t>
      </w:r>
      <w:r w:rsidRPr="00B84DC4">
        <w:rPr>
          <w:rFonts w:ascii="Book Antiqua" w:hAnsi="Book Antiqua" w:cs="Times New Roman"/>
          <w:i/>
          <w:iCs/>
          <w:noProof/>
          <w:sz w:val="24"/>
          <w:szCs w:val="24"/>
          <w:lang w:val="en-ID"/>
        </w:rPr>
        <w:t>Jurnal Biologi Tropis, 22</w:t>
      </w:r>
      <w:r w:rsidRPr="00B84DC4">
        <w:rPr>
          <w:rFonts w:ascii="Book Antiqua" w:hAnsi="Book Antiqua" w:cs="Times New Roman"/>
          <w:noProof/>
          <w:sz w:val="24"/>
          <w:szCs w:val="24"/>
          <w:lang w:val="en-ID"/>
        </w:rPr>
        <w:t>(3), 914–920.</w:t>
      </w:r>
    </w:p>
    <w:p w14:paraId="68E4FD76" w14:textId="4E8494B3"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Robifahmi, N., Puspitasari, W., Hanani, M., Bachtiar, T., Flatian, A. N., &amp; Citraresmini, A. 2023. Kemampuan fiksasi nitrogen varietas kedelai BATAN yang dikombinasikan dengan </w:t>
      </w:r>
      <w:r w:rsidRPr="00B84DC4">
        <w:rPr>
          <w:rFonts w:ascii="Book Antiqua" w:hAnsi="Book Antiqua" w:cs="Times New Roman"/>
          <w:i/>
          <w:noProof/>
          <w:sz w:val="24"/>
          <w:szCs w:val="24"/>
          <w:lang w:val="en-ID"/>
        </w:rPr>
        <w:t>Rhizobium</w:t>
      </w:r>
      <w:r w:rsidRPr="00B84DC4">
        <w:rPr>
          <w:rFonts w:ascii="Book Antiqua" w:hAnsi="Book Antiqua" w:cs="Times New Roman"/>
          <w:noProof/>
          <w:sz w:val="24"/>
          <w:szCs w:val="24"/>
          <w:lang w:val="en-ID"/>
        </w:rPr>
        <w:t xml:space="preserve"> menggunakan teknik isotop. </w:t>
      </w:r>
      <w:r w:rsidRPr="00B84DC4">
        <w:rPr>
          <w:rFonts w:ascii="Book Antiqua" w:hAnsi="Book Antiqua" w:cs="Times New Roman"/>
          <w:i/>
          <w:iCs/>
          <w:noProof/>
          <w:sz w:val="24"/>
          <w:szCs w:val="24"/>
          <w:lang w:val="en-ID"/>
        </w:rPr>
        <w:t>Jurnal Ilmiah Aplikasi Isotop dan Radiasi, 19</w:t>
      </w:r>
      <w:r w:rsidRPr="00B84DC4">
        <w:rPr>
          <w:rFonts w:ascii="Book Antiqua" w:hAnsi="Book Antiqua" w:cs="Times New Roman"/>
          <w:noProof/>
          <w:sz w:val="24"/>
          <w:szCs w:val="24"/>
          <w:lang w:val="en-ID"/>
        </w:rPr>
        <w:t>(1), 57–63.</w:t>
      </w:r>
    </w:p>
    <w:p w14:paraId="33DC808B" w14:textId="113DBD28"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Saraswati, D., &amp; Syahril, M. 2022. Pengaruh jenis pupuk hayati dan mulsa organik terhadap pertumbuhan dan hasil kedelai (</w:t>
      </w:r>
      <w:r w:rsidRPr="00B84DC4">
        <w:rPr>
          <w:rFonts w:ascii="Book Antiqua" w:hAnsi="Book Antiqua" w:cs="Times New Roman"/>
          <w:i/>
          <w:iCs/>
          <w:noProof/>
          <w:sz w:val="24"/>
          <w:szCs w:val="24"/>
          <w:lang w:val="en-ID"/>
        </w:rPr>
        <w:t>Glycine max</w:t>
      </w:r>
      <w:r w:rsidRPr="00B84DC4">
        <w:rPr>
          <w:rFonts w:ascii="Book Antiqua" w:hAnsi="Book Antiqua" w:cs="Times New Roman"/>
          <w:noProof/>
          <w:sz w:val="24"/>
          <w:szCs w:val="24"/>
          <w:lang w:val="en-ID"/>
        </w:rPr>
        <w:t xml:space="preserve"> L. Merrill) pada lahan kering. </w:t>
      </w:r>
      <w:r w:rsidRPr="00B84DC4">
        <w:rPr>
          <w:rFonts w:ascii="Book Antiqua" w:hAnsi="Book Antiqua" w:cs="Times New Roman"/>
          <w:i/>
          <w:iCs/>
          <w:noProof/>
          <w:sz w:val="24"/>
          <w:szCs w:val="24"/>
          <w:lang w:val="en-ID"/>
        </w:rPr>
        <w:t>Prosiding Seminar Nasional Pertanian, 4</w:t>
      </w:r>
      <w:r w:rsidRPr="00B84DC4">
        <w:rPr>
          <w:rFonts w:ascii="Book Antiqua" w:hAnsi="Book Antiqua" w:cs="Times New Roman"/>
          <w:noProof/>
          <w:sz w:val="24"/>
          <w:szCs w:val="24"/>
          <w:lang w:val="en-ID"/>
        </w:rPr>
        <w:t>(1), 157–170.</w:t>
      </w:r>
    </w:p>
    <w:p w14:paraId="2D3C24D2" w14:textId="5934C2AA"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Setyaningrum, D., &amp; Kasanah, U. 2024. Analisis pH dan kadar nitrogen total menggunakan metode Kjeldahl pada pupuk organik padat. </w:t>
      </w:r>
      <w:r w:rsidRPr="00B84DC4">
        <w:rPr>
          <w:rFonts w:ascii="Book Antiqua" w:hAnsi="Book Antiqua" w:cs="Times New Roman"/>
          <w:i/>
          <w:iCs/>
          <w:noProof/>
          <w:sz w:val="24"/>
          <w:szCs w:val="24"/>
          <w:lang w:val="en-ID"/>
        </w:rPr>
        <w:t xml:space="preserve">CHEMVIRO: Jurnal </w:t>
      </w:r>
      <w:r w:rsidRPr="00B84DC4">
        <w:rPr>
          <w:rFonts w:ascii="Book Antiqua" w:hAnsi="Book Antiqua" w:cs="Times New Roman"/>
          <w:i/>
          <w:iCs/>
          <w:noProof/>
          <w:sz w:val="24"/>
          <w:szCs w:val="24"/>
          <w:lang w:val="en-ID"/>
        </w:rPr>
        <w:lastRenderedPageBreak/>
        <w:t>Kimia dan Ilmu Lingkungan (JKIL), 2</w:t>
      </w:r>
      <w:r w:rsidRPr="00B84DC4">
        <w:rPr>
          <w:rFonts w:ascii="Book Antiqua" w:hAnsi="Book Antiqua" w:cs="Times New Roman"/>
          <w:noProof/>
          <w:sz w:val="24"/>
          <w:szCs w:val="24"/>
          <w:lang w:val="en-ID"/>
        </w:rPr>
        <w:t>(2), 123–128.</w:t>
      </w:r>
    </w:p>
    <w:p w14:paraId="3471387D" w14:textId="31D35773" w:rsidR="00A94844" w:rsidRPr="00B84DC4" w:rsidRDefault="00A94844"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Sulaminingsih, S. (2024). Evaluasi efektivitas pupuk organik dan anorganik terhadap pertumbuhan tanaman padi. </w:t>
      </w:r>
      <w:r w:rsidRPr="00B84DC4">
        <w:rPr>
          <w:rFonts w:ascii="Book Antiqua" w:hAnsi="Book Antiqua" w:cs="Times New Roman"/>
          <w:i/>
          <w:noProof/>
          <w:sz w:val="24"/>
          <w:szCs w:val="24"/>
          <w:lang w:val="en-ID"/>
        </w:rPr>
        <w:t>Jurnal Review Pendidikan dan Pengajaran (JRPP)</w:t>
      </w:r>
      <w:r w:rsidRPr="00B84DC4">
        <w:rPr>
          <w:rFonts w:ascii="Book Antiqua" w:hAnsi="Book Antiqua" w:cs="Times New Roman"/>
          <w:noProof/>
          <w:sz w:val="24"/>
          <w:szCs w:val="24"/>
          <w:lang w:val="en-ID"/>
        </w:rPr>
        <w:t>, 7(3), 11877-11883.</w:t>
      </w:r>
    </w:p>
    <w:p w14:paraId="775D5B56" w14:textId="64729378"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Suryanti, E., Nabilla, A. Y., &amp; Prastya, M. E. 2024. Isolasi dan karakterisasi bakteri Rhizobium asal bintil akar tanaman kacang tanah (</w:t>
      </w:r>
      <w:r w:rsidRPr="00B84DC4">
        <w:rPr>
          <w:rFonts w:ascii="Book Antiqua" w:hAnsi="Book Antiqua" w:cs="Times New Roman"/>
          <w:i/>
          <w:iCs/>
          <w:noProof/>
          <w:sz w:val="24"/>
          <w:szCs w:val="24"/>
          <w:lang w:val="en-ID"/>
        </w:rPr>
        <w:t>Arachis hypogaea</w:t>
      </w:r>
      <w:r w:rsidRPr="00B84DC4">
        <w:rPr>
          <w:rFonts w:ascii="Book Antiqua" w:hAnsi="Book Antiqua" w:cs="Times New Roman"/>
          <w:noProof/>
          <w:sz w:val="24"/>
          <w:szCs w:val="24"/>
          <w:lang w:val="en-ID"/>
        </w:rPr>
        <w:t>) dan koro rawe (</w:t>
      </w:r>
      <w:r w:rsidRPr="00B84DC4">
        <w:rPr>
          <w:rFonts w:ascii="Book Antiqua" w:hAnsi="Book Antiqua" w:cs="Times New Roman"/>
          <w:i/>
          <w:iCs/>
          <w:noProof/>
          <w:sz w:val="24"/>
          <w:szCs w:val="24"/>
          <w:lang w:val="en-ID"/>
        </w:rPr>
        <w:t>Mucuna bracteata</w:t>
      </w:r>
      <w:r w:rsidRPr="00B84DC4">
        <w:rPr>
          <w:rFonts w:ascii="Book Antiqua" w:hAnsi="Book Antiqua" w:cs="Times New Roman"/>
          <w:noProof/>
          <w:sz w:val="24"/>
          <w:szCs w:val="24"/>
          <w:lang w:val="en-ID"/>
        </w:rPr>
        <w:t xml:space="preserve">). </w:t>
      </w:r>
      <w:r w:rsidRPr="00B84DC4">
        <w:rPr>
          <w:rFonts w:ascii="Book Antiqua" w:hAnsi="Book Antiqua" w:cs="Times New Roman"/>
          <w:i/>
          <w:iCs/>
          <w:noProof/>
          <w:sz w:val="24"/>
          <w:szCs w:val="24"/>
          <w:lang w:val="en-ID"/>
        </w:rPr>
        <w:t>Jurnal Sumberdaya Hayati, 10</w:t>
      </w:r>
      <w:r w:rsidRPr="00B84DC4">
        <w:rPr>
          <w:rFonts w:ascii="Book Antiqua" w:hAnsi="Book Antiqua" w:cs="Times New Roman"/>
          <w:noProof/>
          <w:sz w:val="24"/>
          <w:szCs w:val="24"/>
          <w:lang w:val="en-ID"/>
        </w:rPr>
        <w:t>(4), 175–182.</w:t>
      </w:r>
    </w:p>
    <w:p w14:paraId="161C4137" w14:textId="473CD197" w:rsidR="0065029B" w:rsidRPr="00B84DC4" w:rsidRDefault="0065029B"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Syahmita, N., Saragih, C. L., &amp; Sinaga, R. E. 2025. EFFECTIVENESS OF MUNG BEAN (</w:t>
      </w:r>
      <w:r w:rsidRPr="00B84DC4">
        <w:rPr>
          <w:rFonts w:ascii="Book Antiqua" w:hAnsi="Book Antiqua" w:cs="Times New Roman"/>
          <w:i/>
          <w:noProof/>
          <w:sz w:val="24"/>
          <w:szCs w:val="24"/>
          <w:lang w:val="en-ID"/>
        </w:rPr>
        <w:t>Vigna radiata</w:t>
      </w:r>
      <w:r w:rsidRPr="00B84DC4">
        <w:rPr>
          <w:rFonts w:ascii="Book Antiqua" w:hAnsi="Book Antiqua" w:cs="Times New Roman"/>
          <w:noProof/>
          <w:sz w:val="24"/>
          <w:szCs w:val="24"/>
          <w:lang w:val="en-ID"/>
        </w:rPr>
        <w:t xml:space="preserve"> L.) AS A COVER CROP IN IMPROVING SOIL CHEMICAL PROPERTIES ON DEGRADED AGRICULTURAL LAND. </w:t>
      </w:r>
      <w:r w:rsidRPr="00B84DC4">
        <w:rPr>
          <w:rFonts w:ascii="Book Antiqua" w:hAnsi="Book Antiqua" w:cs="Times New Roman"/>
          <w:i/>
          <w:noProof/>
          <w:sz w:val="24"/>
          <w:szCs w:val="24"/>
          <w:lang w:val="en-ID"/>
        </w:rPr>
        <w:t>Journal Of Berastagi Agriculture (JOBA)</w:t>
      </w:r>
      <w:r w:rsidRPr="00B84DC4">
        <w:rPr>
          <w:rFonts w:ascii="Book Antiqua" w:hAnsi="Book Antiqua" w:cs="Times New Roman"/>
          <w:noProof/>
          <w:sz w:val="24"/>
          <w:szCs w:val="24"/>
          <w:lang w:val="en-ID"/>
        </w:rPr>
        <w:t>, 4(1), 68-75.</w:t>
      </w:r>
    </w:p>
    <w:p w14:paraId="529389AD" w14:textId="24C85331"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Utama, K. P., &amp; Suparti, S. 2022. Pengaruh tanaman kedelai terhadap pertumbuhan tanaman jagung. </w:t>
      </w:r>
      <w:r w:rsidRPr="00B84DC4">
        <w:rPr>
          <w:rFonts w:ascii="Book Antiqua" w:hAnsi="Book Antiqua" w:cs="Times New Roman"/>
          <w:i/>
          <w:iCs/>
          <w:noProof/>
          <w:sz w:val="24"/>
          <w:szCs w:val="24"/>
          <w:lang w:val="en-ID"/>
        </w:rPr>
        <w:t>Prosiding SNPBS (Seminar asional Pendidikan Biologi dan Saintek), 1</w:t>
      </w:r>
      <w:r w:rsidRPr="00B84DC4">
        <w:rPr>
          <w:rFonts w:ascii="Book Antiqua" w:hAnsi="Book Antiqua" w:cs="Times New Roman"/>
          <w:noProof/>
          <w:sz w:val="24"/>
          <w:szCs w:val="24"/>
          <w:lang w:val="en-ID"/>
        </w:rPr>
        <w:t>(2), 111–117.</w:t>
      </w:r>
    </w:p>
    <w:p w14:paraId="0115A4CB" w14:textId="19A56E2E"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Wheatley, M. R. 2020. Pengaruh produk akhir glikasi eksogen pada metabolom primer kultur </w:t>
      </w:r>
      <w:r w:rsidRPr="00B84DC4">
        <w:rPr>
          <w:rFonts w:ascii="Book Antiqua" w:hAnsi="Book Antiqua" w:cs="Times New Roman"/>
          <w:i/>
          <w:iCs/>
          <w:noProof/>
          <w:sz w:val="24"/>
          <w:szCs w:val="24"/>
          <w:lang w:val="en-ID"/>
        </w:rPr>
        <w:t>Rhizobium leguminosarum</w:t>
      </w:r>
      <w:r w:rsidRPr="00B84DC4">
        <w:rPr>
          <w:rFonts w:ascii="Book Antiqua" w:hAnsi="Book Antiqua" w:cs="Times New Roman"/>
          <w:noProof/>
          <w:sz w:val="24"/>
          <w:szCs w:val="24"/>
          <w:lang w:val="en-ID"/>
        </w:rPr>
        <w:t xml:space="preserve">. </w:t>
      </w:r>
      <w:r w:rsidRPr="00B84DC4">
        <w:rPr>
          <w:rFonts w:ascii="Book Antiqua" w:hAnsi="Book Antiqua" w:cs="Times New Roman"/>
          <w:i/>
          <w:iCs/>
          <w:noProof/>
          <w:sz w:val="24"/>
          <w:szCs w:val="24"/>
          <w:lang w:val="en-ID"/>
        </w:rPr>
        <w:t>Systems Biology and Bioinformatics (SBB-2020): The Twelfth International Young Scientists School</w:t>
      </w:r>
      <w:r w:rsidRPr="00B84DC4">
        <w:rPr>
          <w:rFonts w:ascii="Book Antiqua" w:hAnsi="Book Antiqua" w:cs="Times New Roman"/>
          <w:noProof/>
          <w:sz w:val="24"/>
          <w:szCs w:val="24"/>
          <w:lang w:val="en-ID"/>
        </w:rPr>
        <w:t>, 86–86.</w:t>
      </w:r>
    </w:p>
    <w:p w14:paraId="365FA549" w14:textId="0A093798" w:rsidR="00AA24B6" w:rsidRPr="00B84DC4"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Ye, H., Tang, C., &amp; Cao, Y. 2021. Sources and transformation mechanisms of inorganic nitrogen: Evidence from multi-isotopes in a rural–urban river area. </w:t>
      </w:r>
      <w:r w:rsidRPr="00B84DC4">
        <w:rPr>
          <w:rFonts w:ascii="Book Antiqua" w:hAnsi="Book Antiqua" w:cs="Times New Roman"/>
          <w:i/>
          <w:iCs/>
          <w:noProof/>
          <w:sz w:val="24"/>
          <w:szCs w:val="24"/>
          <w:lang w:val="en-ID"/>
        </w:rPr>
        <w:t>Science of the Total Environment, 7</w:t>
      </w:r>
      <w:r w:rsidRPr="00B84DC4">
        <w:rPr>
          <w:rFonts w:ascii="Book Antiqua" w:hAnsi="Book Antiqua" w:cs="Times New Roman"/>
          <w:noProof/>
          <w:sz w:val="24"/>
          <w:szCs w:val="24"/>
          <w:lang w:val="en-ID"/>
        </w:rPr>
        <w:t>(4), Article 148615.</w:t>
      </w:r>
    </w:p>
    <w:p w14:paraId="433F4726" w14:textId="71C1CD8F" w:rsidR="003B6CFE" w:rsidRDefault="00AA24B6" w:rsidP="0032796D">
      <w:pPr>
        <w:widowControl w:val="0"/>
        <w:autoSpaceDE w:val="0"/>
        <w:autoSpaceDN w:val="0"/>
        <w:adjustRightInd w:val="0"/>
        <w:spacing w:after="240" w:line="240" w:lineRule="auto"/>
        <w:ind w:left="709" w:hanging="709"/>
        <w:jc w:val="both"/>
        <w:rPr>
          <w:rFonts w:ascii="Book Antiqua" w:hAnsi="Book Antiqua" w:cs="Times New Roman"/>
          <w:noProof/>
          <w:sz w:val="24"/>
          <w:szCs w:val="24"/>
          <w:lang w:val="en-ID"/>
        </w:rPr>
      </w:pPr>
      <w:r w:rsidRPr="00B84DC4">
        <w:rPr>
          <w:rFonts w:ascii="Book Antiqua" w:hAnsi="Book Antiqua" w:cs="Times New Roman"/>
          <w:noProof/>
          <w:sz w:val="24"/>
          <w:szCs w:val="24"/>
          <w:lang w:val="en-ID"/>
        </w:rPr>
        <w:t xml:space="preserve">Zhang, Z., Wei, Z., Guo, W., Wei, Y., Luo, J., Song, C., Lu, Q., &amp; Zhao, Y. 2021. Two types nitrogen source supply adjusted interaction patterns of bacterial community to affect humification process of rice straw composting. </w:t>
      </w:r>
      <w:r w:rsidRPr="00B84DC4">
        <w:rPr>
          <w:rFonts w:ascii="Book Antiqua" w:hAnsi="Book Antiqua" w:cs="Times New Roman"/>
          <w:i/>
          <w:iCs/>
          <w:noProof/>
          <w:sz w:val="24"/>
          <w:szCs w:val="24"/>
          <w:lang w:val="en-ID"/>
        </w:rPr>
        <w:t>Bioresource Technology, 3</w:t>
      </w:r>
      <w:r w:rsidRPr="00B84DC4">
        <w:rPr>
          <w:rFonts w:ascii="Book Antiqua" w:hAnsi="Book Antiqua" w:cs="Times New Roman"/>
          <w:noProof/>
          <w:sz w:val="24"/>
          <w:szCs w:val="24"/>
          <w:lang w:val="en-ID"/>
        </w:rPr>
        <w:t>(2), Article 125129.</w:t>
      </w:r>
    </w:p>
    <w:sectPr w:rsidR="003B6CFE">
      <w:type w:val="continuous"/>
      <w:pgSz w:w="11907" w:h="16839" w:code="9"/>
      <w:pgMar w:top="1418" w:right="1418" w:bottom="1418" w:left="1418"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3DA1" w14:textId="77777777" w:rsidR="00C62C87" w:rsidRDefault="00C62C87">
      <w:pPr>
        <w:spacing w:after="0" w:line="240" w:lineRule="auto"/>
      </w:pPr>
      <w:r>
        <w:separator/>
      </w:r>
    </w:p>
  </w:endnote>
  <w:endnote w:type="continuationSeparator" w:id="0">
    <w:p w14:paraId="381AE955" w14:textId="77777777" w:rsidR="00C62C87" w:rsidRDefault="00C62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91EC" w14:textId="7528DC5E" w:rsidR="001402CE" w:rsidRDefault="001402CE">
    <w:pPr>
      <w:pStyle w:val="Footer"/>
      <w:jc w:val="right"/>
    </w:pPr>
    <w:r>
      <w:rPr>
        <w:rFonts w:ascii="Copperplate Gothic Bold" w:eastAsia="Dotum" w:hAnsi="Copperplate Gothic Bold"/>
        <w:sz w:val="16"/>
        <w:szCs w:val="16"/>
      </w:rPr>
      <w:t xml:space="preserve">Biologica Samudra Vol. </w:t>
    </w:r>
    <w:r w:rsidR="00072979">
      <w:rPr>
        <w:rFonts w:ascii="Copperplate Gothic Bold" w:eastAsia="Dotum" w:hAnsi="Copperplate Gothic Bold"/>
        <w:sz w:val="16"/>
        <w:szCs w:val="16"/>
      </w:rPr>
      <w:t>07</w:t>
    </w:r>
    <w:r>
      <w:rPr>
        <w:rFonts w:ascii="Copperplate Gothic Bold" w:eastAsia="Dotum" w:hAnsi="Copperplate Gothic Bold"/>
        <w:sz w:val="16"/>
        <w:szCs w:val="16"/>
      </w:rPr>
      <w:t xml:space="preserve">,  No. </w:t>
    </w:r>
    <w:r w:rsidR="00072979">
      <w:rPr>
        <w:rFonts w:ascii="Copperplate Gothic Bold" w:eastAsia="Dotum" w:hAnsi="Copperplate Gothic Bold"/>
        <w:sz w:val="16"/>
        <w:szCs w:val="16"/>
      </w:rPr>
      <w:t>2</w:t>
    </w:r>
    <w:r>
      <w:rPr>
        <w:rFonts w:ascii="Copperplate Gothic Bold" w:eastAsia="Dotum" w:hAnsi="Copperplate Gothic Bold"/>
        <w:sz w:val="16"/>
        <w:szCs w:val="16"/>
      </w:rPr>
      <w:t xml:space="preserve">,  </w:t>
    </w:r>
    <w:r w:rsidR="00072979">
      <w:rPr>
        <w:rFonts w:ascii="Copperplate Gothic Bold" w:eastAsia="Dotum" w:hAnsi="Copperplate Gothic Bold"/>
        <w:sz w:val="16"/>
        <w:szCs w:val="16"/>
      </w:rPr>
      <w:t>Desember</w:t>
    </w:r>
    <w:r>
      <w:rPr>
        <w:rFonts w:ascii="Copperplate Gothic Bold" w:eastAsia="Dotum" w:hAnsi="Copperplate Gothic Bold"/>
        <w:sz w:val="16"/>
        <w:szCs w:val="16"/>
      </w:rPr>
      <w:t xml:space="preserve">  20</w:t>
    </w:r>
    <w:r w:rsidR="00072979">
      <w:rPr>
        <w:rFonts w:ascii="Copperplate Gothic Bold" w:eastAsia="Dotum" w:hAnsi="Copperplate Gothic Bold"/>
        <w:sz w:val="16"/>
        <w:szCs w:val="16"/>
      </w:rPr>
      <w:t>25</w:t>
    </w:r>
    <w:r>
      <w:rPr>
        <w:rFonts w:ascii="Copperplate Gothic Bold" w:eastAsia="Dotum" w:hAnsi="Copperplate Gothic Bold"/>
        <w:sz w:val="16"/>
        <w:szCs w:val="16"/>
      </w:rPr>
      <w:t xml:space="preserve"> </w:t>
    </w:r>
    <w:r>
      <w:rPr>
        <w:rFonts w:ascii="Copperplate Gothic Bold" w:eastAsia="Dotum" w:hAnsi="Copperplate Gothic Bold"/>
        <w:color w:val="7F7F7F"/>
        <w:spacing w:val="60"/>
        <w:sz w:val="16"/>
        <w:szCs w:val="16"/>
      </w:rPr>
      <w:t xml:space="preserve"> </w:t>
    </w:r>
    <w:r>
      <w:rPr>
        <w:rFonts w:ascii="Copperplate Gothic Bold" w:eastAsia="Dotum" w:hAnsi="Copperplate Gothic Bold"/>
        <w:sz w:val="16"/>
        <w:szCs w:val="16"/>
      </w:rPr>
      <w:t xml:space="preserve"> </w:t>
    </w:r>
    <w:r>
      <w:rPr>
        <w:rFonts w:ascii="Copperplate Gothic Bold" w:eastAsia="Dotum" w:hAnsi="Copperplate Gothic Bold"/>
        <w:sz w:val="20"/>
        <w:szCs w:val="20"/>
      </w:rPr>
      <w:t>|</w:t>
    </w:r>
    <w:r>
      <w:rPr>
        <w:rFonts w:ascii="Times New Roman" w:eastAsia="Dotum" w:hAnsi="Times New Roman" w:cs="Times New Roman"/>
        <w:b/>
        <w:bCs/>
        <w:sz w:val="24"/>
        <w:szCs w:val="24"/>
      </w:rPr>
      <w:t xml:space="preserve"> </w:t>
    </w:r>
    <w:r>
      <w:rPr>
        <w:rFonts w:ascii="Times New Roman" w:eastAsia="Dotum" w:hAnsi="Times New Roman" w:cs="Times New Roman"/>
        <w:b/>
        <w:bCs/>
      </w:rPr>
      <w:fldChar w:fldCharType="begin"/>
    </w:r>
    <w:r>
      <w:rPr>
        <w:rFonts w:ascii="Times New Roman" w:eastAsia="Dotum" w:hAnsi="Times New Roman" w:cs="Times New Roman"/>
        <w:b/>
        <w:bCs/>
      </w:rPr>
      <w:instrText xml:space="preserve"> PAGE   \* MERGEFORMAT </w:instrText>
    </w:r>
    <w:r>
      <w:rPr>
        <w:rFonts w:ascii="Times New Roman" w:eastAsia="Dotum" w:hAnsi="Times New Roman" w:cs="Times New Roman"/>
        <w:b/>
        <w:bCs/>
      </w:rPr>
      <w:fldChar w:fldCharType="separate"/>
    </w:r>
    <w:r w:rsidR="002B1980">
      <w:rPr>
        <w:rFonts w:ascii="Times New Roman" w:eastAsia="Dotum" w:hAnsi="Times New Roman" w:cs="Times New Roman"/>
        <w:b/>
        <w:bCs/>
        <w:noProof/>
      </w:rPr>
      <w:t>2</w:t>
    </w:r>
    <w:r>
      <w:rPr>
        <w:rFonts w:ascii="Times New Roman" w:eastAsia="Dotum" w:hAnsi="Times New Roman" w:cs="Times New Roman"/>
        <w:b/>
        <w:bCs/>
      </w:rPr>
      <w:fldChar w:fldCharType="end"/>
    </w:r>
  </w:p>
  <w:p w14:paraId="73E3BAFC" w14:textId="77777777" w:rsidR="001402CE" w:rsidRDefault="00140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754B0" w14:textId="77777777" w:rsidR="00C62C87" w:rsidRDefault="00C62C87">
      <w:pPr>
        <w:spacing w:after="0" w:line="240" w:lineRule="auto"/>
      </w:pPr>
      <w:r>
        <w:separator/>
      </w:r>
    </w:p>
  </w:footnote>
  <w:footnote w:type="continuationSeparator" w:id="0">
    <w:p w14:paraId="380980DE" w14:textId="77777777" w:rsidR="00C62C87" w:rsidRDefault="00C62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CE66726"/>
    <w:lvl w:ilvl="0" w:tplc="D1B6A9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3"/>
    <w:multiLevelType w:val="multilevel"/>
    <w:tmpl w:val="84A8BBE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51DD50DE"/>
    <w:multiLevelType w:val="hybridMultilevel"/>
    <w:tmpl w:val="5FBC23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104108848">
    <w:abstractNumId w:val="1"/>
  </w:num>
  <w:num w:numId="2" w16cid:durableId="1601525078">
    <w:abstractNumId w:val="0"/>
  </w:num>
  <w:num w:numId="3" w16cid:durableId="1091203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24"/>
    <w:rsid w:val="00045D4C"/>
    <w:rsid w:val="00072979"/>
    <w:rsid w:val="000824A5"/>
    <w:rsid w:val="000E00C3"/>
    <w:rsid w:val="000F0842"/>
    <w:rsid w:val="000F6815"/>
    <w:rsid w:val="0010360D"/>
    <w:rsid w:val="001402CE"/>
    <w:rsid w:val="00173485"/>
    <w:rsid w:val="001C3B2C"/>
    <w:rsid w:val="00264C70"/>
    <w:rsid w:val="002B1980"/>
    <w:rsid w:val="002F0085"/>
    <w:rsid w:val="0032796D"/>
    <w:rsid w:val="003357E3"/>
    <w:rsid w:val="00362927"/>
    <w:rsid w:val="00392324"/>
    <w:rsid w:val="003A0C59"/>
    <w:rsid w:val="003B6CFE"/>
    <w:rsid w:val="003D3D81"/>
    <w:rsid w:val="003F3CE8"/>
    <w:rsid w:val="0043465D"/>
    <w:rsid w:val="00497401"/>
    <w:rsid w:val="004B1218"/>
    <w:rsid w:val="004E726A"/>
    <w:rsid w:val="004F3C11"/>
    <w:rsid w:val="005C73A7"/>
    <w:rsid w:val="005C797E"/>
    <w:rsid w:val="005F46DA"/>
    <w:rsid w:val="0065029B"/>
    <w:rsid w:val="00685E82"/>
    <w:rsid w:val="0069664D"/>
    <w:rsid w:val="00754AFB"/>
    <w:rsid w:val="00893C56"/>
    <w:rsid w:val="008A446B"/>
    <w:rsid w:val="008C5DEF"/>
    <w:rsid w:val="008E7940"/>
    <w:rsid w:val="00914735"/>
    <w:rsid w:val="0092769C"/>
    <w:rsid w:val="009547C6"/>
    <w:rsid w:val="009A3FA4"/>
    <w:rsid w:val="009B1130"/>
    <w:rsid w:val="009D32CC"/>
    <w:rsid w:val="009D47F0"/>
    <w:rsid w:val="00A54D88"/>
    <w:rsid w:val="00A73FF5"/>
    <w:rsid w:val="00A746E4"/>
    <w:rsid w:val="00A86A2C"/>
    <w:rsid w:val="00A94844"/>
    <w:rsid w:val="00AA013D"/>
    <w:rsid w:val="00AA24B6"/>
    <w:rsid w:val="00AA4789"/>
    <w:rsid w:val="00B0740A"/>
    <w:rsid w:val="00B15595"/>
    <w:rsid w:val="00B84DC4"/>
    <w:rsid w:val="00C568E8"/>
    <w:rsid w:val="00C62C87"/>
    <w:rsid w:val="00C824F1"/>
    <w:rsid w:val="00C9641D"/>
    <w:rsid w:val="00CE4A90"/>
    <w:rsid w:val="00D06833"/>
    <w:rsid w:val="00DE7B92"/>
    <w:rsid w:val="00E05C57"/>
    <w:rsid w:val="00E46846"/>
    <w:rsid w:val="00E7341C"/>
    <w:rsid w:val="00EE5039"/>
    <w:rsid w:val="00EF6E0C"/>
    <w:rsid w:val="00FF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5CD4"/>
  <w15:docId w15:val="{D2881B86-5748-4CB0-8AC1-41135DD45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324"/>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2324"/>
    <w:pPr>
      <w:spacing w:after="0" w:line="240" w:lineRule="auto"/>
    </w:pPr>
    <w:rPr>
      <w:rFonts w:ascii="Calibri" w:eastAsia="Calibri" w:hAnsi="Calibri" w:cs="Arial"/>
    </w:rPr>
  </w:style>
  <w:style w:type="table" w:styleId="TableGrid">
    <w:name w:val="Table Grid"/>
    <w:basedOn w:val="TableNormal"/>
    <w:uiPriority w:val="59"/>
    <w:rsid w:val="0039232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39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392324"/>
    <w:rPr>
      <w:rFonts w:ascii="Courier New" w:eastAsia="Times New Roman" w:hAnsi="Courier New" w:cs="Courier New"/>
      <w:sz w:val="20"/>
      <w:szCs w:val="20"/>
      <w:lang w:val="id-ID" w:eastAsia="id-ID"/>
    </w:rPr>
  </w:style>
  <w:style w:type="paragraph" w:styleId="ListParagraph">
    <w:name w:val="List Paragraph"/>
    <w:basedOn w:val="Normal"/>
    <w:link w:val="ListParagraphChar"/>
    <w:uiPriority w:val="34"/>
    <w:qFormat/>
    <w:rsid w:val="0039232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392324"/>
    <w:rPr>
      <w:color w:val="0000FF"/>
      <w:u w:val="single"/>
    </w:rPr>
  </w:style>
  <w:style w:type="paragraph" w:styleId="Footer">
    <w:name w:val="footer"/>
    <w:basedOn w:val="Normal"/>
    <w:link w:val="FooterChar"/>
    <w:uiPriority w:val="99"/>
    <w:rsid w:val="00392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324"/>
    <w:rPr>
      <w:rFonts w:ascii="Calibri" w:eastAsia="Calibri" w:hAnsi="Calibri" w:cs="Arial"/>
    </w:rPr>
  </w:style>
  <w:style w:type="character" w:customStyle="1" w:styleId="ListParagraphChar">
    <w:name w:val="List Paragraph Char"/>
    <w:link w:val="ListParagraph"/>
    <w:uiPriority w:val="34"/>
    <w:rsid w:val="00392324"/>
    <w:rPr>
      <w:rFonts w:ascii="Times New Roman" w:eastAsia="Times New Roman" w:hAnsi="Times New Roman" w:cs="Times New Roman"/>
      <w:sz w:val="24"/>
      <w:szCs w:val="24"/>
    </w:rPr>
  </w:style>
  <w:style w:type="paragraph" w:styleId="Caption">
    <w:name w:val="caption"/>
    <w:basedOn w:val="Normal"/>
    <w:next w:val="Normal"/>
    <w:uiPriority w:val="35"/>
    <w:qFormat/>
    <w:rsid w:val="00392324"/>
    <w:pPr>
      <w:spacing w:line="240" w:lineRule="auto"/>
    </w:pPr>
    <w:rPr>
      <w:b/>
      <w:bCs/>
      <w:color w:val="4F81BD"/>
      <w:sz w:val="18"/>
      <w:szCs w:val="18"/>
    </w:rPr>
  </w:style>
  <w:style w:type="paragraph" w:styleId="CommentText">
    <w:name w:val="annotation text"/>
    <w:basedOn w:val="Normal"/>
    <w:link w:val="CommentTextChar"/>
    <w:uiPriority w:val="99"/>
    <w:rsid w:val="00392324"/>
    <w:pPr>
      <w:spacing w:after="160" w:line="240" w:lineRule="auto"/>
    </w:pPr>
    <w:rPr>
      <w:rFonts w:eastAsia="Times New Roman" w:cs="Times New Roman"/>
      <w:kern w:val="2"/>
      <w:sz w:val="20"/>
      <w:szCs w:val="20"/>
      <w:lang w:val="en-ID"/>
    </w:rPr>
  </w:style>
  <w:style w:type="character" w:customStyle="1" w:styleId="CommentTextChar">
    <w:name w:val="Comment Text Char"/>
    <w:basedOn w:val="DefaultParagraphFont"/>
    <w:link w:val="CommentText"/>
    <w:uiPriority w:val="99"/>
    <w:rsid w:val="00392324"/>
    <w:rPr>
      <w:rFonts w:ascii="Calibri" w:eastAsia="Times New Roman" w:hAnsi="Calibri" w:cs="Times New Roman"/>
      <w:kern w:val="2"/>
      <w:sz w:val="20"/>
      <w:szCs w:val="20"/>
      <w:lang w:val="en-ID"/>
    </w:rPr>
  </w:style>
  <w:style w:type="paragraph" w:styleId="BalloonText">
    <w:name w:val="Balloon Text"/>
    <w:basedOn w:val="Normal"/>
    <w:link w:val="BalloonTextChar"/>
    <w:uiPriority w:val="99"/>
    <w:semiHidden/>
    <w:unhideWhenUsed/>
    <w:rsid w:val="003923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324"/>
    <w:rPr>
      <w:rFonts w:ascii="Tahoma" w:eastAsia="Calibri" w:hAnsi="Tahoma" w:cs="Tahoma"/>
      <w:sz w:val="16"/>
      <w:szCs w:val="16"/>
    </w:rPr>
  </w:style>
  <w:style w:type="character" w:styleId="CommentReference">
    <w:name w:val="annotation reference"/>
    <w:basedOn w:val="DefaultParagraphFont"/>
    <w:uiPriority w:val="99"/>
    <w:rsid w:val="009D47F0"/>
    <w:rPr>
      <w:rFonts w:cs="Times New Roman"/>
      <w:sz w:val="16"/>
      <w:szCs w:val="16"/>
    </w:rPr>
  </w:style>
  <w:style w:type="character" w:customStyle="1" w:styleId="UnresolvedMention1">
    <w:name w:val="Unresolved Mention1"/>
    <w:basedOn w:val="DefaultParagraphFont"/>
    <w:uiPriority w:val="99"/>
    <w:semiHidden/>
    <w:unhideWhenUsed/>
    <w:rsid w:val="00B1559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73485"/>
    <w:pPr>
      <w:spacing w:after="200"/>
    </w:pPr>
    <w:rPr>
      <w:rFonts w:eastAsia="Calibri" w:cs="Arial"/>
      <w:b/>
      <w:bCs/>
      <w:kern w:val="0"/>
      <w:lang w:val="en-US"/>
    </w:rPr>
  </w:style>
  <w:style w:type="character" w:customStyle="1" w:styleId="CommentSubjectChar">
    <w:name w:val="Comment Subject Char"/>
    <w:basedOn w:val="CommentTextChar"/>
    <w:link w:val="CommentSubject"/>
    <w:uiPriority w:val="99"/>
    <w:semiHidden/>
    <w:rsid w:val="00173485"/>
    <w:rPr>
      <w:rFonts w:ascii="Calibri" w:eastAsia="Calibri" w:hAnsi="Calibri" w:cs="Arial"/>
      <w:b/>
      <w:bCs/>
      <w:kern w:val="2"/>
      <w:sz w:val="20"/>
      <w:szCs w:val="20"/>
      <w:lang w:val="en-ID"/>
    </w:rPr>
  </w:style>
  <w:style w:type="paragraph" w:styleId="Header">
    <w:name w:val="header"/>
    <w:basedOn w:val="Normal"/>
    <w:link w:val="HeaderChar"/>
    <w:uiPriority w:val="99"/>
    <w:unhideWhenUsed/>
    <w:rsid w:val="00893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56"/>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mailto:ruhul.maghfirah@usk.ac.id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latin typeface="Book Antiqua" pitchFamily="18" charset="0"/>
              </a:rPr>
              <a:t>Kadar nitrogen pada tanaman legum dan nonlegum</a:t>
            </a:r>
          </a:p>
        </c:rich>
      </c:tx>
      <c:overlay val="0"/>
    </c:title>
    <c:autoTitleDeleted val="0"/>
    <c:plotArea>
      <c:layout>
        <c:manualLayout>
          <c:layoutTarget val="inner"/>
          <c:xMode val="edge"/>
          <c:yMode val="edge"/>
          <c:x val="0.17162747048804969"/>
          <c:y val="0.28057088576789319"/>
          <c:w val="0.79662024505851226"/>
          <c:h val="0.5236448135907239"/>
        </c:manualLayout>
      </c:layout>
      <c:barChart>
        <c:barDir val="col"/>
        <c:grouping val="clustered"/>
        <c:varyColors val="0"/>
        <c:ser>
          <c:idx val="0"/>
          <c:order val="0"/>
          <c:tx>
            <c:strRef>
              <c:f>Sheet1!$D$14</c:f>
              <c:strCache>
                <c:ptCount val="1"/>
                <c:pt idx="0">
                  <c:v>Kadar Nitrogen (%)</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Sheet1!$C$15:$C$17</c:f>
              <c:strCache>
                <c:ptCount val="3"/>
                <c:pt idx="0">
                  <c:v>Jagung</c:v>
                </c:pt>
                <c:pt idx="1">
                  <c:v>Kacang tanah</c:v>
                </c:pt>
                <c:pt idx="2">
                  <c:v>Bunga telang</c:v>
                </c:pt>
              </c:strCache>
            </c:strRef>
          </c:cat>
          <c:val>
            <c:numRef>
              <c:f>Sheet1!$D$15:$D$17</c:f>
              <c:numCache>
                <c:formatCode>General</c:formatCode>
                <c:ptCount val="3"/>
                <c:pt idx="0">
                  <c:v>4.42</c:v>
                </c:pt>
                <c:pt idx="1">
                  <c:v>6.82</c:v>
                </c:pt>
                <c:pt idx="2">
                  <c:v>5.0599999999999996</c:v>
                </c:pt>
              </c:numCache>
            </c:numRef>
          </c:val>
          <c:extLst>
            <c:ext xmlns:c16="http://schemas.microsoft.com/office/drawing/2014/chart" uri="{C3380CC4-5D6E-409C-BE32-E72D297353CC}">
              <c16:uniqueId val="{00000000-C13B-45F5-BF19-DBD44E8B1324}"/>
            </c:ext>
          </c:extLst>
        </c:ser>
        <c:dLbls>
          <c:showLegendKey val="0"/>
          <c:showVal val="0"/>
          <c:showCatName val="0"/>
          <c:showSerName val="0"/>
          <c:showPercent val="0"/>
          <c:showBubbleSize val="0"/>
        </c:dLbls>
        <c:gapWidth val="75"/>
        <c:overlap val="40"/>
        <c:axId val="326840320"/>
        <c:axId val="353251840"/>
      </c:barChart>
      <c:catAx>
        <c:axId val="326840320"/>
        <c:scaling>
          <c:orientation val="minMax"/>
        </c:scaling>
        <c:delete val="0"/>
        <c:axPos val="b"/>
        <c:title>
          <c:tx>
            <c:rich>
              <a:bodyPr/>
              <a:lstStyle/>
              <a:p>
                <a:pPr>
                  <a:defRPr/>
                </a:pPr>
                <a:r>
                  <a:rPr lang="en-US">
                    <a:latin typeface="Book Antiqua" pitchFamily="18" charset="0"/>
                  </a:rPr>
                  <a:t>Jenis</a:t>
                </a:r>
                <a:r>
                  <a:rPr lang="en-US" baseline="0">
                    <a:latin typeface="Book Antiqua" pitchFamily="18" charset="0"/>
                  </a:rPr>
                  <a:t> Tanaman</a:t>
                </a:r>
                <a:endParaRPr lang="en-US">
                  <a:latin typeface="Book Antiqua" pitchFamily="18" charset="0"/>
                </a:endParaRPr>
              </a:p>
            </c:rich>
          </c:tx>
          <c:overlay val="0"/>
        </c:title>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353251840"/>
        <c:crosses val="autoZero"/>
        <c:auto val="1"/>
        <c:lblAlgn val="ctr"/>
        <c:lblOffset val="100"/>
        <c:noMultiLvlLbl val="0"/>
      </c:catAx>
      <c:valAx>
        <c:axId val="353251840"/>
        <c:scaling>
          <c:orientation val="minMax"/>
          <c:max val="8"/>
          <c:min val="2"/>
        </c:scaling>
        <c:delete val="0"/>
        <c:axPos val="l"/>
        <c:title>
          <c:tx>
            <c:rich>
              <a:bodyPr rot="-5400000" vert="horz"/>
              <a:lstStyle/>
              <a:p>
                <a:pPr>
                  <a:defRPr/>
                </a:pPr>
                <a:r>
                  <a:rPr lang="en-US">
                    <a:latin typeface="Book Antiqua" pitchFamily="18" charset="0"/>
                  </a:rPr>
                  <a:t>Kadar Nitrogen (%)</a:t>
                </a:r>
              </a:p>
            </c:rich>
          </c:tx>
          <c:layout>
            <c:manualLayout>
              <c:xMode val="edge"/>
              <c:yMode val="edge"/>
              <c:x val="5.7878824822378709E-2"/>
              <c:y val="0.25800339116902421"/>
            </c:manualLayout>
          </c:layout>
          <c:overlay val="0"/>
        </c:title>
        <c:numFmt formatCode="General" sourceLinked="1"/>
        <c:majorTickMark val="none"/>
        <c:minorTickMark val="none"/>
        <c:tickLblPos val="nextTo"/>
        <c:crossAx val="326840320"/>
        <c:crosses val="autoZero"/>
        <c:crossBetween val="between"/>
        <c:majorUnit val="2"/>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12</TotalTime>
  <Pages>7</Pages>
  <Words>2431</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Hp</cp:lastModifiedBy>
  <cp:revision>9</cp:revision>
  <cp:lastPrinted>2026-01-15T10:10:00Z</cp:lastPrinted>
  <dcterms:created xsi:type="dcterms:W3CDTF">2026-01-15T08:57:00Z</dcterms:created>
  <dcterms:modified xsi:type="dcterms:W3CDTF">2026-01-15T10:10:00Z</dcterms:modified>
</cp:coreProperties>
</file>