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50AF1" w14:textId="7ED304DA" w:rsidR="005C4E87" w:rsidRDefault="00293B82" w:rsidP="005521A2">
      <w:pPr>
        <w:pStyle w:val="BodyText"/>
        <w:ind w:right="1089"/>
        <w:jc w:val="center"/>
        <w:rPr>
          <w:b/>
          <w:sz w:val="28"/>
          <w:szCs w:val="28"/>
          <w:lang w:val="en-ID"/>
        </w:rPr>
      </w:pPr>
      <w:bookmarkStart w:id="0" w:name="_Hlk211436374"/>
      <w:bookmarkStart w:id="1" w:name="_Hlk211960307"/>
      <w:bookmarkStart w:id="2" w:name="_Hlk189637479"/>
      <w:bookmarkStart w:id="3" w:name="_GoBack"/>
      <w:bookmarkEnd w:id="0"/>
      <w:bookmarkEnd w:id="3"/>
      <w:r>
        <w:rPr>
          <w:b/>
          <w:color w:val="000000"/>
          <w:sz w:val="28"/>
          <w:szCs w:val="28"/>
        </w:rPr>
        <w:t>More Stable, More Generous Banks? The Relationship between Financial Performance and Dividend Policy</w:t>
      </w:r>
      <w:bookmarkEnd w:id="1"/>
    </w:p>
    <w:p w14:paraId="671EDD97" w14:textId="77777777" w:rsidR="009202A2" w:rsidRDefault="009202A2" w:rsidP="005C4E87">
      <w:pPr>
        <w:pStyle w:val="BodyText"/>
        <w:ind w:right="20"/>
        <w:jc w:val="center"/>
        <w:rPr>
          <w:b/>
          <w:sz w:val="28"/>
          <w:szCs w:val="28"/>
          <w:lang w:val="en-ID"/>
        </w:rPr>
      </w:pPr>
    </w:p>
    <w:p w14:paraId="3374B3B5" w14:textId="2DB368E4" w:rsidR="007C2CCA" w:rsidRPr="009202A2" w:rsidRDefault="00293B82" w:rsidP="005521A2">
      <w:pPr>
        <w:pStyle w:val="BodyText"/>
        <w:ind w:right="1089"/>
        <w:jc w:val="center"/>
        <w:rPr>
          <w:b/>
        </w:rPr>
      </w:pPr>
      <w:bookmarkStart w:id="4" w:name="_Hlk211960349"/>
      <w:r w:rsidRPr="00293B82">
        <w:rPr>
          <w:b/>
        </w:rPr>
        <w:t>Nadya Kamila</w:t>
      </w:r>
      <w:r w:rsidRPr="00293B82">
        <w:rPr>
          <w:b/>
          <w:vertAlign w:val="superscript"/>
        </w:rPr>
        <w:t>1</w:t>
      </w:r>
      <w:r w:rsidR="00291FD0">
        <w:rPr>
          <w:b/>
          <w:vertAlign w:val="superscript"/>
        </w:rPr>
        <w:t>)</w:t>
      </w:r>
      <w:r w:rsidRPr="00293B82">
        <w:rPr>
          <w:b/>
        </w:rPr>
        <w:t>, Ossi Ferli</w:t>
      </w:r>
      <w:r w:rsidRPr="00293B82">
        <w:rPr>
          <w:b/>
          <w:vertAlign w:val="superscript"/>
        </w:rPr>
        <w:t>2*</w:t>
      </w:r>
      <w:bookmarkEnd w:id="4"/>
      <w:r w:rsidR="00291FD0">
        <w:rPr>
          <w:b/>
          <w:vertAlign w:val="superscript"/>
        </w:rPr>
        <w:t>)</w:t>
      </w:r>
    </w:p>
    <w:p w14:paraId="1F1F0757" w14:textId="12410ECC" w:rsidR="007C2CCA" w:rsidRPr="009202A2" w:rsidRDefault="007C2CCA" w:rsidP="00242629">
      <w:pPr>
        <w:pStyle w:val="BodyText"/>
        <w:ind w:left="0" w:right="-45"/>
        <w:jc w:val="center"/>
        <w:rPr>
          <w:bCs/>
        </w:rPr>
      </w:pPr>
      <w:r w:rsidRPr="00291FD0">
        <w:rPr>
          <w:bCs/>
          <w:vertAlign w:val="superscript"/>
        </w:rPr>
        <w:t>1,2</w:t>
      </w:r>
      <w:r w:rsidR="00242629">
        <w:rPr>
          <w:bCs/>
          <w:vertAlign w:val="superscript"/>
        </w:rPr>
        <w:t>*</w:t>
      </w:r>
      <w:r w:rsidRPr="00291FD0">
        <w:rPr>
          <w:bCs/>
          <w:vertAlign w:val="superscript"/>
        </w:rPr>
        <w:t>)</w:t>
      </w:r>
      <w:r w:rsidR="00FA7D22">
        <w:rPr>
          <w:bCs/>
        </w:rPr>
        <w:t xml:space="preserve"> </w:t>
      </w:r>
      <w:r w:rsidR="00293B82" w:rsidRPr="00293B82">
        <w:rPr>
          <w:bCs/>
        </w:rPr>
        <w:t>Management Study Program, STIE Indonesia Banking School, Indonesia</w:t>
      </w:r>
    </w:p>
    <w:p w14:paraId="09D6D16D" w14:textId="5743BC2E" w:rsidR="007C2CCA" w:rsidRPr="00293B82" w:rsidRDefault="007C2CCA" w:rsidP="005521A2">
      <w:pPr>
        <w:pStyle w:val="BodyText"/>
        <w:ind w:right="1089"/>
        <w:jc w:val="center"/>
        <w:rPr>
          <w:b/>
          <w:i/>
          <w:iCs/>
          <w:sz w:val="28"/>
          <w:szCs w:val="28"/>
        </w:rPr>
      </w:pPr>
      <w:r w:rsidRPr="00293B82">
        <w:rPr>
          <w:b/>
          <w:i/>
          <w:iCs/>
        </w:rPr>
        <w:t>E</w:t>
      </w:r>
      <w:r w:rsidR="00242629">
        <w:rPr>
          <w:b/>
          <w:i/>
          <w:iCs/>
        </w:rPr>
        <w:t>-</w:t>
      </w:r>
      <w:r w:rsidRPr="00293B82">
        <w:rPr>
          <w:b/>
          <w:i/>
          <w:iCs/>
        </w:rPr>
        <w:t xml:space="preserve">mail: </w:t>
      </w:r>
      <w:r w:rsidR="00293B82" w:rsidRPr="00291FD0">
        <w:rPr>
          <w:bCs/>
          <w:i/>
          <w:iCs/>
        </w:rPr>
        <w:t>ossi.ferli@ibs.ac.id</w:t>
      </w:r>
    </w:p>
    <w:bookmarkEnd w:id="2"/>
    <w:p w14:paraId="2E91AA2D" w14:textId="77777777" w:rsidR="005C4E87" w:rsidRDefault="005C4E87" w:rsidP="005C4E87">
      <w:pPr>
        <w:pStyle w:val="Authors"/>
        <w:rPr>
          <w:b/>
          <w:bCs/>
        </w:rPr>
      </w:pPr>
    </w:p>
    <w:p w14:paraId="5561FF3B" w14:textId="1BF1EB68" w:rsidR="005C4E87" w:rsidRPr="00D31E75" w:rsidRDefault="005C4E87" w:rsidP="005C4E87">
      <w:pPr>
        <w:pStyle w:val="BodyText"/>
        <w:ind w:left="233" w:right="246"/>
        <w:jc w:val="center"/>
        <w:rPr>
          <w:b/>
          <w:color w:val="000000" w:themeColor="text1"/>
          <w:w w:val="105"/>
        </w:rPr>
      </w:pPr>
      <w:r w:rsidRPr="00D31E75">
        <w:rPr>
          <w:b/>
          <w:color w:val="000000" w:themeColor="text1"/>
          <w:w w:val="105"/>
        </w:rPr>
        <w:t>ABSTRACK</w:t>
      </w:r>
    </w:p>
    <w:p w14:paraId="288EC22D" w14:textId="11E45E94" w:rsidR="00D31E75" w:rsidRPr="00293B82" w:rsidRDefault="00293B82" w:rsidP="00D31E75">
      <w:pPr>
        <w:ind w:left="851" w:right="1089"/>
        <w:jc w:val="both"/>
        <w:rPr>
          <w:rFonts w:asciiTheme="majorBidi" w:hAnsiTheme="majorBidi" w:cstheme="majorBidi"/>
          <w:i/>
          <w:iCs/>
          <w:color w:val="000000" w:themeColor="text1"/>
          <w:sz w:val="24"/>
          <w:szCs w:val="24"/>
        </w:rPr>
      </w:pPr>
      <w:r w:rsidRPr="00293B82">
        <w:rPr>
          <w:rFonts w:asciiTheme="majorBidi" w:hAnsiTheme="majorBidi" w:cstheme="majorBidi"/>
          <w:i/>
          <w:iCs/>
          <w:color w:val="000000" w:themeColor="text1"/>
          <w:sz w:val="24"/>
          <w:szCs w:val="24"/>
        </w:rPr>
        <w:t>This study aims to analyze the effect of leverage, profitability, liquidity, profit growth, and firm size on dividend policy in the banking sector listed on the Indonesia Stock Exchange (IDX) during the 2019–2023 period. The analysis method used is multiple linear regression to identify the influence of independent variables on dividend policy. The population in this study consists of all banking companies listed on the IDX, with 12 companies selected as samples using a purposive sampling method. The results show that leverage (DER), profitability (ROA), and firm size (FS) have a positive influence on dividend policy (DPR). Conversely, profit growth (PG) has a negative effect on dividend policy, while liquidity (CR) has no significant effect. Based on these findings, it is recommended that management maintain stable net income to ensure the company’s ability to pay dividends. This can be achieved through income diversification, operational efficiency, and a balanced profit allocation strategy. The novelty of this research lies in the change in the sector analyzed, namely the banking sector, as well as the extension of the analysis period covering five years (2019-2023). In addition, this study replaces the growth variable with Profit Growth to more accurately describe the company's potential to generate sustainable income. The variables analyzed in this study include Debt to Equity Ratio (DER), Return on Asset (ROA), Current Ratio, Profit Growth, and Firm Size</w:t>
      </w:r>
      <w:r w:rsidR="00D31E75" w:rsidRPr="00293B82">
        <w:rPr>
          <w:rFonts w:asciiTheme="majorBidi" w:hAnsiTheme="majorBidi" w:cstheme="majorBidi"/>
          <w:i/>
          <w:iCs/>
          <w:color w:val="000000" w:themeColor="text1"/>
          <w:sz w:val="24"/>
          <w:szCs w:val="24"/>
        </w:rPr>
        <w:t>.</w:t>
      </w:r>
    </w:p>
    <w:p w14:paraId="0F0BF6AA" w14:textId="77777777" w:rsidR="00D31E75" w:rsidRPr="00293B82" w:rsidRDefault="00D31E75" w:rsidP="00D31E75">
      <w:pPr>
        <w:ind w:left="851" w:right="1089"/>
        <w:jc w:val="both"/>
        <w:rPr>
          <w:rFonts w:asciiTheme="majorBidi" w:hAnsiTheme="majorBidi" w:cstheme="majorBidi"/>
          <w:i/>
          <w:iCs/>
          <w:color w:val="000000" w:themeColor="text1"/>
          <w:sz w:val="24"/>
          <w:szCs w:val="24"/>
        </w:rPr>
      </w:pPr>
    </w:p>
    <w:p w14:paraId="2B895C5E" w14:textId="5CBF6702" w:rsidR="005C4E87" w:rsidRPr="00293B82" w:rsidRDefault="00D31E75" w:rsidP="00291FD0">
      <w:pPr>
        <w:ind w:left="1985" w:right="1089" w:hanging="1134"/>
        <w:jc w:val="both"/>
        <w:rPr>
          <w:rFonts w:asciiTheme="majorBidi" w:hAnsiTheme="majorBidi" w:cstheme="majorBidi"/>
          <w:i/>
          <w:iCs/>
          <w:color w:val="000000" w:themeColor="text1"/>
          <w:sz w:val="24"/>
          <w:szCs w:val="24"/>
        </w:rPr>
      </w:pPr>
      <w:r w:rsidRPr="00293B82">
        <w:rPr>
          <w:rFonts w:asciiTheme="majorBidi" w:hAnsiTheme="majorBidi" w:cstheme="majorBidi"/>
          <w:b/>
          <w:bCs/>
          <w:i/>
          <w:iCs/>
          <w:color w:val="000000" w:themeColor="text1"/>
          <w:sz w:val="24"/>
          <w:szCs w:val="24"/>
        </w:rPr>
        <w:t>Keywords</w:t>
      </w:r>
      <w:r w:rsidRPr="00293B82">
        <w:rPr>
          <w:rFonts w:asciiTheme="majorBidi" w:hAnsiTheme="majorBidi" w:cstheme="majorBidi"/>
          <w:i/>
          <w:iCs/>
          <w:color w:val="000000" w:themeColor="text1"/>
          <w:sz w:val="24"/>
          <w:szCs w:val="24"/>
        </w:rPr>
        <w:t xml:space="preserve">: </w:t>
      </w:r>
      <w:r w:rsidR="00293B82" w:rsidRPr="00293B82">
        <w:rPr>
          <w:rFonts w:asciiTheme="majorBidi" w:hAnsiTheme="majorBidi" w:cstheme="majorBidi"/>
          <w:i/>
          <w:iCs/>
          <w:color w:val="000000" w:themeColor="text1"/>
          <w:sz w:val="24"/>
          <w:szCs w:val="24"/>
        </w:rPr>
        <w:t>Dividend Policy; Firm Size; Leverage; Profitability; Profit Growth</w:t>
      </w:r>
      <w:r w:rsidR="005C4E87" w:rsidRPr="00293B82">
        <w:rPr>
          <w:rFonts w:asciiTheme="majorBidi" w:hAnsiTheme="majorBidi" w:cstheme="majorBidi"/>
          <w:i/>
          <w:iCs/>
          <w:color w:val="000000" w:themeColor="text1"/>
          <w:sz w:val="24"/>
          <w:szCs w:val="24"/>
        </w:rPr>
        <w:t>.</w:t>
      </w:r>
    </w:p>
    <w:p w14:paraId="4FA94522" w14:textId="77777777" w:rsidR="005C4E87" w:rsidRPr="00D31E75" w:rsidRDefault="005C4E87" w:rsidP="005C4E87">
      <w:pPr>
        <w:jc w:val="both"/>
        <w:rPr>
          <w:rFonts w:asciiTheme="majorBidi" w:hAnsiTheme="majorBidi" w:cstheme="majorBidi"/>
          <w:color w:val="000000" w:themeColor="text1"/>
          <w:sz w:val="24"/>
          <w:szCs w:val="24"/>
        </w:rPr>
      </w:pPr>
    </w:p>
    <w:p w14:paraId="5AEB8131" w14:textId="733DE21B" w:rsidR="004F1F84" w:rsidRPr="00D31E75" w:rsidRDefault="005C4E87" w:rsidP="005C4E87">
      <w:pPr>
        <w:tabs>
          <w:tab w:val="left" w:pos="851"/>
        </w:tabs>
        <w:rPr>
          <w:rFonts w:asciiTheme="majorBidi" w:hAnsiTheme="majorBidi" w:cstheme="majorBidi"/>
          <w:color w:val="000000" w:themeColor="text1"/>
          <w:sz w:val="24"/>
          <w:szCs w:val="24"/>
        </w:rPr>
      </w:pPr>
      <w:r w:rsidRPr="00D31E75">
        <w:rPr>
          <w:rFonts w:asciiTheme="majorBidi" w:hAnsiTheme="majorBidi" w:cstheme="majorBidi"/>
          <w:b/>
          <w:bCs/>
          <w:color w:val="000000" w:themeColor="text1"/>
          <w:sz w:val="24"/>
          <w:szCs w:val="24"/>
        </w:rPr>
        <w:tab/>
      </w:r>
    </w:p>
    <w:p w14:paraId="38EE6E24" w14:textId="77777777" w:rsidR="00293B82" w:rsidRDefault="00293B82" w:rsidP="00293B82">
      <w:pPr>
        <w:pBdr>
          <w:top w:val="nil"/>
          <w:left w:val="nil"/>
          <w:bottom w:val="nil"/>
          <w:right w:val="nil"/>
          <w:between w:val="nil"/>
        </w:pBdr>
        <w:spacing w:line="36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INTRODUCTION</w:t>
      </w:r>
    </w:p>
    <w:p w14:paraId="2E04203D" w14:textId="77777777" w:rsidR="00293B82" w:rsidRDefault="00293B82" w:rsidP="00293B82">
      <w:pPr>
        <w:pBdr>
          <w:top w:val="nil"/>
          <w:left w:val="nil"/>
          <w:bottom w:val="nil"/>
          <w:right w:val="nil"/>
          <w:between w:val="nil"/>
        </w:pBdr>
        <w:spacing w:line="360" w:lineRule="auto"/>
        <w:ind w:firstLine="56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rapid development of technology and business has encouraged companies to continuously innovate in order to maintain their competitive advantage in the modern era. One strategy that companies adopt to enhance their competitiveness is going public through an Initial Public Offering (IPO) on the Indonesia Stock Exchange (IDX) (Brigham &amp; Houston, 2018). Going public provides companies with opportunities to increase their public image and market value. The capital market plays a crucial role in driving public companies to enhance their performance, including through profit announcements and dividend distributions to shareholders (Modigliani &amp; Miller, 1961). One-way companies raise funds is by issuing shares, which has become a popular investment instrument due to its potential to generate attractive return. Investors primarily aim to increase their wealth through capital gains and dividends. </w:t>
      </w:r>
      <w:r>
        <w:rPr>
          <w:rFonts w:ascii="Times New Roman" w:eastAsia="Times New Roman" w:hAnsi="Times New Roman"/>
          <w:color w:val="000000"/>
          <w:sz w:val="24"/>
          <w:szCs w:val="24"/>
        </w:rPr>
        <w:lastRenderedPageBreak/>
        <w:t>Therefore, companies strive for sustainable growth to ensure business continuity and provide greater benefits to shareholders (Gordon, 1959).</w:t>
      </w:r>
    </w:p>
    <w:p w14:paraId="17739B15" w14:textId="3A25570F" w:rsidR="009202A2" w:rsidRDefault="00293B82" w:rsidP="00293B82">
      <w:pPr>
        <w:spacing w:line="360" w:lineRule="auto"/>
        <w:ind w:firstLine="720"/>
        <w:jc w:val="both"/>
        <w:rPr>
          <w:rFonts w:asciiTheme="majorBidi" w:hAnsiTheme="majorBidi" w:cstheme="majorBidi"/>
          <w:sz w:val="24"/>
          <w:szCs w:val="24"/>
        </w:rPr>
      </w:pPr>
      <w:r>
        <w:rPr>
          <w:rFonts w:ascii="Times New Roman" w:eastAsia="Times New Roman" w:hAnsi="Times New Roman"/>
          <w:color w:val="000000"/>
          <w:sz w:val="24"/>
          <w:szCs w:val="24"/>
        </w:rPr>
        <w:t>Dividend policy remains a critical aspect of corporate financial management, particularly in the banking sector, which plays a vital role in economic growth. The banking sector remains a highly relevant topic today, especially regarding financial performance issues that challenge the management of dividend policy. Banks are financial institutions that play a vital role in supporting the overall economy (Ferli et al., 2021). Understanding the factors influencing dividend policy is essential as it effects investor decision-making and corporate financial stability (Lintner, 1962). According to the Financial Services Authority (OJK), as of July 2024, banking credit distribution grew by 7.72% year-on-year, with a total of IDR 8,6886.7 trillion, indicating strong financial performance in the sector (OJK, 2024). Given the banking industry's resilience, it is essential to examine the key financial determinants that influence dividend policy. This study aims to analyze the impact of leverage, profitability, liquidity, profit growth, and firm size on dividend policy in Indonesia’s banking sector</w:t>
      </w:r>
      <w:r w:rsidR="009202A2" w:rsidRPr="009202A2">
        <w:rPr>
          <w:rFonts w:asciiTheme="majorBidi" w:hAnsiTheme="majorBidi" w:cstheme="majorBidi"/>
          <w:sz w:val="24"/>
          <w:szCs w:val="24"/>
        </w:rPr>
        <w:t>.</w:t>
      </w:r>
    </w:p>
    <w:p w14:paraId="0220A471" w14:textId="39512FEF" w:rsidR="00293B82" w:rsidRPr="009202A2" w:rsidRDefault="00293B82" w:rsidP="00F16668">
      <w:pPr>
        <w:spacing w:line="360" w:lineRule="auto"/>
        <w:jc w:val="center"/>
        <w:rPr>
          <w:rFonts w:asciiTheme="majorBidi" w:hAnsiTheme="majorBidi" w:cstheme="majorBidi"/>
          <w:sz w:val="24"/>
          <w:szCs w:val="24"/>
        </w:rPr>
      </w:pPr>
      <w:r>
        <w:rPr>
          <w:rFonts w:ascii="Times New Roman" w:eastAsia="Times New Roman" w:hAnsi="Times New Roman"/>
          <w:noProof/>
          <w:color w:val="000000"/>
          <w:sz w:val="24"/>
          <w:szCs w:val="24"/>
        </w:rPr>
        <w:drawing>
          <wp:inline distT="0" distB="0" distL="114300" distR="114300" wp14:anchorId="7AA8B618" wp14:editId="10768E6B">
            <wp:extent cx="4241800" cy="1828800"/>
            <wp:effectExtent l="0" t="0" r="6350" b="0"/>
            <wp:docPr id="1045" name="image7.png" descr="A graph with numbers and arrow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graph with numbers and arrows&#10;&#10;Description automatically generated"/>
                    <pic:cNvPicPr preferRelativeResize="0"/>
                  </pic:nvPicPr>
                  <pic:blipFill>
                    <a:blip r:embed="rId7"/>
                    <a:srcRect/>
                    <a:stretch>
                      <a:fillRect/>
                    </a:stretch>
                  </pic:blipFill>
                  <pic:spPr>
                    <a:xfrm>
                      <a:off x="0" y="0"/>
                      <a:ext cx="4242640" cy="1829162"/>
                    </a:xfrm>
                    <a:prstGeom prst="rect">
                      <a:avLst/>
                    </a:prstGeom>
                    <a:ln/>
                  </pic:spPr>
                </pic:pic>
              </a:graphicData>
            </a:graphic>
          </wp:inline>
        </w:drawing>
      </w:r>
    </w:p>
    <w:p w14:paraId="21A2D0C6" w14:textId="44D13C4C" w:rsidR="00293B82" w:rsidRPr="00F16668" w:rsidRDefault="00F16668" w:rsidP="00F16668">
      <w:pPr>
        <w:rPr>
          <w:rFonts w:ascii="Times New Roman" w:eastAsia="Times New Roman" w:hAnsi="Times New Roman"/>
          <w:sz w:val="20"/>
          <w:szCs w:val="20"/>
        </w:rPr>
      </w:pPr>
      <w:r>
        <w:rPr>
          <w:rFonts w:ascii="Times New Roman" w:eastAsia="Times New Roman" w:hAnsi="Times New Roman"/>
          <w:b/>
          <w:sz w:val="20"/>
          <w:szCs w:val="20"/>
        </w:rPr>
        <w:t xml:space="preserve">                         </w:t>
      </w:r>
      <w:r w:rsidR="00293B82" w:rsidRPr="00F16668">
        <w:rPr>
          <w:rFonts w:ascii="Times New Roman" w:eastAsia="Times New Roman" w:hAnsi="Times New Roman"/>
          <w:b/>
          <w:sz w:val="20"/>
          <w:szCs w:val="20"/>
        </w:rPr>
        <w:t>Figure 1. Net Profit of Indonesia’s Largest Banks.</w:t>
      </w:r>
    </w:p>
    <w:p w14:paraId="56DAC420" w14:textId="6998D4B5" w:rsidR="00293B82" w:rsidRDefault="00F16668" w:rsidP="00F16668">
      <w:pPr>
        <w:spacing w:line="360" w:lineRule="auto"/>
        <w:rPr>
          <w:rFonts w:asciiTheme="majorBidi" w:hAnsiTheme="majorBidi" w:cstheme="majorBidi"/>
          <w:sz w:val="24"/>
          <w:szCs w:val="24"/>
        </w:rPr>
      </w:pPr>
      <w:r>
        <w:rPr>
          <w:rFonts w:ascii="Times New Roman" w:eastAsia="Times New Roman" w:hAnsi="Times New Roman"/>
          <w:i/>
          <w:sz w:val="20"/>
          <w:szCs w:val="20"/>
        </w:rPr>
        <w:t xml:space="preserve">                         </w:t>
      </w:r>
      <w:r w:rsidR="00293B82" w:rsidRPr="00F16668">
        <w:rPr>
          <w:rFonts w:ascii="Times New Roman" w:eastAsia="Times New Roman" w:hAnsi="Times New Roman"/>
          <w:i/>
          <w:sz w:val="20"/>
          <w:szCs w:val="20"/>
        </w:rPr>
        <w:t>Sources: Philip Sekuritas Indonesia</w:t>
      </w:r>
    </w:p>
    <w:p w14:paraId="5C57A321" w14:textId="77777777" w:rsidR="00293B82" w:rsidRDefault="00293B82" w:rsidP="009202A2">
      <w:pPr>
        <w:spacing w:line="360" w:lineRule="auto"/>
        <w:ind w:firstLine="720"/>
        <w:jc w:val="both"/>
        <w:rPr>
          <w:rFonts w:asciiTheme="majorBidi" w:hAnsiTheme="majorBidi" w:cstheme="majorBidi"/>
          <w:sz w:val="24"/>
          <w:szCs w:val="24"/>
        </w:rPr>
      </w:pPr>
    </w:p>
    <w:p w14:paraId="5FEC1615" w14:textId="77777777" w:rsidR="00293B82" w:rsidRDefault="00293B82" w:rsidP="00293B82">
      <w:pPr>
        <w:pBdr>
          <w:top w:val="nil"/>
          <w:left w:val="nil"/>
          <w:bottom w:val="nil"/>
          <w:right w:val="nil"/>
          <w:between w:val="nil"/>
        </w:pBdr>
        <w:spacing w:line="360" w:lineRule="auto"/>
        <w:ind w:firstLine="566"/>
        <w:jc w:val="both"/>
        <w:rPr>
          <w:rFonts w:ascii="Times New Roman" w:eastAsia="Times New Roman" w:hAnsi="Times New Roman"/>
          <w:sz w:val="24"/>
          <w:szCs w:val="24"/>
        </w:rPr>
      </w:pPr>
      <w:r>
        <w:rPr>
          <w:rFonts w:ascii="Times New Roman" w:eastAsia="Times New Roman" w:hAnsi="Times New Roman"/>
          <w:sz w:val="24"/>
          <w:szCs w:val="24"/>
        </w:rPr>
        <w:t xml:space="preserve">The Indonesian banking sector experienced notable growth throughout 2023, signaling a strong recovery from the economic downturn caused by the COVID-19 pandemic. As the economy began to stabilize and expand, supported by improved domestic consumption, increased loan disbursement, and digital transformation, the financial performance of major banks showed significant improvement. According to the Financial Services Authority (OJK), this upward trend is evident in the robust increase in net profits recorded by several large banks, particularly those in the Core Capitalized Bank Group (Kelompok Bank Berdasarkan Modal Inti/KBMI) IV. This positive financial momentum plays a crucial role in shaping dividend policy, as banks with higher profitability are more likely to distribute dividends to shareholders while maintaining sufficient capital adequacy. In fiscal year 2023, PT Bank Rakyat Indonesia </w:t>
      </w:r>
      <w:r>
        <w:rPr>
          <w:rFonts w:ascii="Times New Roman" w:eastAsia="Times New Roman" w:hAnsi="Times New Roman"/>
          <w:sz w:val="24"/>
          <w:szCs w:val="24"/>
        </w:rPr>
        <w:lastRenderedPageBreak/>
        <w:t>Tbk (BBRI) recorded a net profit of Rp 60.4 trillion, reflecting a 17.5% year-on-year (YoY) growth. PT Bank Mandiri Tbk (BMRI) achieved an even higher growth of 33.7% YoY, reaching a net profit of Rp 55.1 trillion. PT Bank Central Asia Tbk (BBCA) also showed strong performance with Rp 48.6 trillion in net profit, growing 19.4% YoY, while PT Bank Negara Indonesia Tbk (BBNI) recorded Rp 20.9 trillion in net profit, an increase of 14.2% YoY.</w:t>
      </w:r>
    </w:p>
    <w:p w14:paraId="67E539ED" w14:textId="7F180D6D" w:rsidR="00293B82" w:rsidRDefault="00293B82" w:rsidP="00293B82">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These figures not only highlight the financial resilience and operational efficiency of the banking sector but also suggest that banks are in a better position to reward shareholders through dividends. Furthermore, the improved profitability strengthens investor confidence and aligns with regulatory expectations for sustainable financial performance. In this context, the relationship between financial performance and dividend policy becomes increasingly relevant for stakeholders analyzing the post-pandemic dynamics of the banking industry. </w:t>
      </w:r>
      <w:r>
        <w:rPr>
          <w:rFonts w:ascii="Times New Roman" w:eastAsia="Times New Roman" w:hAnsi="Times New Roman"/>
          <w:color w:val="000000"/>
          <w:sz w:val="24"/>
          <w:szCs w:val="24"/>
        </w:rPr>
        <w:t>Along with these achievements, these banks are also expected to distribute dividends to shareholders. Dividends, which are the portion of a company’s profit that is distributed to shareholders, will be determined based on the dividend payout ratio approved at the General Meeting of Shareholders (GMS). The percentage of profit distributed as dividends varies for each issuer, depending on each bank’s internal policies and capital strengthening objectives.</w:t>
      </w:r>
    </w:p>
    <w:p w14:paraId="43140F67" w14:textId="739FC40C" w:rsidR="00293B82" w:rsidRDefault="00293B82" w:rsidP="00F16668">
      <w:pPr>
        <w:spacing w:line="360" w:lineRule="auto"/>
        <w:jc w:val="center"/>
        <w:rPr>
          <w:rFonts w:asciiTheme="majorBidi" w:hAnsiTheme="majorBidi" w:cstheme="majorBidi"/>
          <w:sz w:val="24"/>
          <w:szCs w:val="24"/>
        </w:rPr>
      </w:pPr>
      <w:r>
        <w:rPr>
          <w:rFonts w:ascii="Times New Roman" w:eastAsia="Times New Roman" w:hAnsi="Times New Roman"/>
          <w:noProof/>
          <w:color w:val="000000"/>
          <w:sz w:val="24"/>
          <w:szCs w:val="24"/>
        </w:rPr>
        <w:drawing>
          <wp:inline distT="0" distB="0" distL="114300" distR="114300" wp14:anchorId="5330F433" wp14:editId="14F42078">
            <wp:extent cx="3771900" cy="1752600"/>
            <wp:effectExtent l="0" t="0" r="0" b="0"/>
            <wp:docPr id="1047" name="image3.png" descr="A graph of numbers and a number of peop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graph of numbers and a number of people&#10;&#10;Description automatically generated with medium confidence"/>
                    <pic:cNvPicPr preferRelativeResize="0"/>
                  </pic:nvPicPr>
                  <pic:blipFill>
                    <a:blip r:embed="rId8"/>
                    <a:srcRect/>
                    <a:stretch>
                      <a:fillRect/>
                    </a:stretch>
                  </pic:blipFill>
                  <pic:spPr>
                    <a:xfrm>
                      <a:off x="0" y="0"/>
                      <a:ext cx="3772163" cy="1752722"/>
                    </a:xfrm>
                    <a:prstGeom prst="rect">
                      <a:avLst/>
                    </a:prstGeom>
                    <a:ln/>
                  </pic:spPr>
                </pic:pic>
              </a:graphicData>
            </a:graphic>
          </wp:inline>
        </w:drawing>
      </w:r>
    </w:p>
    <w:p w14:paraId="7406781F" w14:textId="51F7C4AD" w:rsidR="00293B82" w:rsidRPr="00F16668" w:rsidRDefault="00F16668" w:rsidP="00F16668">
      <w:pPr>
        <w:ind w:left="-851"/>
        <w:rPr>
          <w:rFonts w:ascii="Times New Roman" w:eastAsia="Times New Roman" w:hAnsi="Times New Roman"/>
          <w:sz w:val="20"/>
          <w:szCs w:val="20"/>
        </w:rPr>
      </w:pPr>
      <w:r>
        <w:rPr>
          <w:rFonts w:ascii="Times New Roman" w:eastAsia="Times New Roman" w:hAnsi="Times New Roman"/>
          <w:b/>
          <w:sz w:val="20"/>
          <w:szCs w:val="20"/>
        </w:rPr>
        <w:t xml:space="preserve">                                                  </w:t>
      </w:r>
      <w:r w:rsidR="00293B82" w:rsidRPr="00F16668">
        <w:rPr>
          <w:rFonts w:ascii="Times New Roman" w:eastAsia="Times New Roman" w:hAnsi="Times New Roman"/>
          <w:b/>
          <w:sz w:val="20"/>
          <w:szCs w:val="20"/>
        </w:rPr>
        <w:t>Figure 2. Dividend Payout Rasio of Banks Issuers.</w:t>
      </w:r>
    </w:p>
    <w:p w14:paraId="73A78184" w14:textId="21D01C98" w:rsidR="00293B82" w:rsidRDefault="00293B82" w:rsidP="00293B82">
      <w:pPr>
        <w:spacing w:line="360" w:lineRule="auto"/>
        <w:ind w:left="720" w:firstLine="720"/>
        <w:jc w:val="both"/>
        <w:rPr>
          <w:rFonts w:asciiTheme="majorBidi" w:hAnsiTheme="majorBidi" w:cstheme="majorBidi"/>
          <w:sz w:val="24"/>
          <w:szCs w:val="24"/>
        </w:rPr>
      </w:pPr>
      <w:r w:rsidRPr="00F16668">
        <w:rPr>
          <w:rFonts w:ascii="Times New Roman" w:eastAsia="Times New Roman" w:hAnsi="Times New Roman"/>
          <w:i/>
          <w:sz w:val="20"/>
          <w:szCs w:val="20"/>
        </w:rPr>
        <w:t xml:space="preserve">  </w:t>
      </w:r>
      <w:r w:rsidR="00F16668">
        <w:rPr>
          <w:rFonts w:ascii="Times New Roman" w:eastAsia="Times New Roman" w:hAnsi="Times New Roman"/>
          <w:i/>
          <w:sz w:val="20"/>
          <w:szCs w:val="20"/>
        </w:rPr>
        <w:t xml:space="preserve">  </w:t>
      </w:r>
      <w:r w:rsidRPr="00F16668">
        <w:rPr>
          <w:rFonts w:ascii="Times New Roman" w:eastAsia="Times New Roman" w:hAnsi="Times New Roman"/>
          <w:i/>
          <w:sz w:val="20"/>
          <w:szCs w:val="20"/>
        </w:rPr>
        <w:t>Sources: Philip Sekuritas Indonesia</w:t>
      </w:r>
    </w:p>
    <w:p w14:paraId="3BC45049" w14:textId="77777777" w:rsidR="00F16668" w:rsidRDefault="00F16668" w:rsidP="00293B82">
      <w:pPr>
        <w:pBdr>
          <w:top w:val="nil"/>
          <w:left w:val="nil"/>
          <w:bottom w:val="nil"/>
          <w:right w:val="nil"/>
          <w:between w:val="nil"/>
        </w:pBdr>
        <w:spacing w:line="360" w:lineRule="auto"/>
        <w:ind w:firstLine="566"/>
        <w:jc w:val="both"/>
        <w:rPr>
          <w:rFonts w:ascii="Times New Roman" w:eastAsia="Times New Roman" w:hAnsi="Times New Roman"/>
          <w:color w:val="000000"/>
          <w:sz w:val="24"/>
          <w:szCs w:val="24"/>
        </w:rPr>
      </w:pPr>
    </w:p>
    <w:p w14:paraId="6B035ED1" w14:textId="2940F358" w:rsidR="00293B82" w:rsidRDefault="00293B82" w:rsidP="00293B82">
      <w:pPr>
        <w:pBdr>
          <w:top w:val="nil"/>
          <w:left w:val="nil"/>
          <w:bottom w:val="nil"/>
          <w:right w:val="nil"/>
          <w:between w:val="nil"/>
        </w:pBdr>
        <w:spacing w:line="360" w:lineRule="auto"/>
        <w:ind w:firstLine="56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Based on figure 2 PT Bank Rakyat Indonesia Tbk (BBRI) stands out as the issuer with the highest dividend payout ratio compared to other banks, showing the company’s strong commitment in distributing profits to shareholders. PT Bank Central Asia Tbk (BBCA) also shows stability in its dividend payout ratio each year, reflecting its business maturity and consistent performance. This continuous increase in dividend payout ratio indicates that these companies have solid growth and healthy business. The consistent dividend payout ratio reflects that these companies have achieved a balance between profit sharing and capital strengthening. This demonstrates not only solid financial performance but also commitment to </w:t>
      </w:r>
      <w:r>
        <w:rPr>
          <w:rFonts w:ascii="Times New Roman" w:eastAsia="Times New Roman" w:hAnsi="Times New Roman"/>
          <w:color w:val="000000"/>
          <w:sz w:val="24"/>
          <w:szCs w:val="24"/>
        </w:rPr>
        <w:lastRenderedPageBreak/>
        <w:t>support the long-term growth of the company while delivering value to shareholders.</w:t>
      </w:r>
    </w:p>
    <w:p w14:paraId="7B596E76" w14:textId="77777777" w:rsidR="00293B82" w:rsidRDefault="00293B82" w:rsidP="00293B82">
      <w:pPr>
        <w:spacing w:line="360" w:lineRule="auto"/>
        <w:ind w:firstLine="288"/>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Dividend policy in the banking industry is influenced by various factors, including leverage, profitability, liquidity, profit growth, and firm size. Leverage has a significant influence on dividend policy as firms with high debt levels tend to retain profits to meet financial obligations. Profitability also plays an important role, where companies with high profit levels are more likely to pay dividends to their shareholders. On the other hand, liquidity plays a role in determining a company's ability to pay dividends consistently without disrupting its operations. In addition, sustainable profit growth reflects the company's potential to increase profits in the future, thus influencing dividend distribution decisions. Company size is also a factor that affects dividend policy, where large companies tend to have a more stable dividend policy compared to small companies (Sejati et al., 2020). </w:t>
      </w:r>
    </w:p>
    <w:p w14:paraId="30EF8C7F" w14:textId="5A5AE811" w:rsidR="00293B82" w:rsidRDefault="00293B82" w:rsidP="00293B82">
      <w:pPr>
        <w:spacing w:line="360" w:lineRule="auto"/>
        <w:ind w:firstLine="288"/>
        <w:jc w:val="both"/>
        <w:rPr>
          <w:rFonts w:ascii="Times New Roman" w:eastAsia="Times New Roman" w:hAnsi="Times New Roman"/>
          <w:sz w:val="24"/>
          <w:szCs w:val="24"/>
        </w:rPr>
      </w:pPr>
      <w:r>
        <w:rPr>
          <w:rFonts w:ascii="Times New Roman" w:eastAsia="Times New Roman" w:hAnsi="Times New Roman"/>
          <w:sz w:val="24"/>
          <w:szCs w:val="24"/>
        </w:rPr>
        <w:t>In the context of regulatory oversight, the dividend policy in the Indonesian banking sector is subject to a set of unique considerations that distinguish it from other industries. Banks, as financial intermediaries and systemic institutions, carry greater responsibility in maintaining economic stability, which makes their governance and profit allocation subject to more stringent regulations. One of the most significant external influences comes from the Financial Services Authority (OJK), which plays a critical role in shaping how banks manage their earnings. Specifically, OJK Regulation Number 17 of 2023 on the Implementation of Governance for Commercial Banks mandates that profits earned by banks must be primarily allocated for capital strengthening and long-term investment purposes. This requirement underscores the importance of maintaining sufficient capital buffers to support credit expansion, absorb potential losses, and ensure resilience against economic shocks. This regulatory stance aims to promote sustainable growth and financial soundness within the banking sector, but it also imposes constraints on how much profit banks can distribute as dividends. Unlike corporations in other sectors that may have greater flexibility in profit distribution, banks must carefully balance regulatory compliance with shareholder expectations. As such, the dividend policy of banks is not solely determined by internal financial performance,</w:t>
      </w:r>
      <w:r w:rsidR="00291FD0">
        <w:rPr>
          <w:rFonts w:ascii="Times New Roman" w:eastAsia="Times New Roman" w:hAnsi="Times New Roman"/>
          <w:sz w:val="24"/>
          <w:szCs w:val="24"/>
        </w:rPr>
        <w:t xml:space="preserve"> </w:t>
      </w:r>
      <w:r>
        <w:rPr>
          <w:rFonts w:ascii="Times New Roman" w:eastAsia="Times New Roman" w:hAnsi="Times New Roman"/>
          <w:sz w:val="24"/>
          <w:szCs w:val="24"/>
        </w:rPr>
        <w:t>but is also heavily influenced by external policy frameworks and macroprudential considerations.</w:t>
      </w:r>
    </w:p>
    <w:p w14:paraId="70ED9FB4" w14:textId="77777777" w:rsidR="00293B82" w:rsidRDefault="00293B82" w:rsidP="00293B82">
      <w:pPr>
        <w:spacing w:line="360" w:lineRule="auto"/>
        <w:ind w:firstLine="288"/>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Understanding dividend policy in this context is therefore particularly relevant and complex. For researchers, policymakers, and investors, analyzing dividend behavior in Indonesian banks requires a holistic view that incorporates both financial indicators—such as profitability, leverage, and liquidity—and the regulatory landscape that governs decision-making. This highlights the importance of studying the specific factors that influence dividend policy in the </w:t>
      </w:r>
      <w:r>
        <w:rPr>
          <w:rFonts w:ascii="Times New Roman" w:eastAsia="Times New Roman" w:hAnsi="Times New Roman"/>
          <w:sz w:val="24"/>
          <w:szCs w:val="24"/>
        </w:rPr>
        <w:lastRenderedPageBreak/>
        <w:t>banking industry, as these dynamics reflect not only financial strategy but also institutional responsibility and regulatory adaptation. By examining these sector-specific factors, this research aims to provide a clearer picture of how Indonesian banks manage their profit allocation amid evolving regulatory expectations and economic conditions.</w:t>
      </w:r>
    </w:p>
    <w:p w14:paraId="6714A5BD" w14:textId="77777777" w:rsidR="00293B82" w:rsidRDefault="00293B82" w:rsidP="00293B82">
      <w:pPr>
        <w:spacing w:line="360" w:lineRule="auto"/>
        <w:ind w:firstLine="288"/>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Based on the description above, this study aims to analyze the effect of leverage, profitability, liquidity, profit growth, and company size on dividend policy in the banking sector listed on the Indonesia Stock Exchange for the 2019-2023 period. By understanding the factors that influence dividend policy, this research is expected to contribute to academics, investors, and financial practitioners in making better decisions regarding dividend policy in the banking sector. So, the first research hypothesis is formulated:</w:t>
      </w:r>
    </w:p>
    <w:p w14:paraId="1E272C7D" w14:textId="77777777" w:rsidR="00293B82" w:rsidRDefault="00293B82" w:rsidP="00293B82">
      <w:pPr>
        <w:spacing w:line="360" w:lineRule="auto"/>
        <w:ind w:firstLine="288"/>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Leverage as measured by Debt to Equity Ratio (DER) is thought to affect Dividend Policy (Dividend Payout Ratio). Companies with high debt levels tend to allocate profits to pay debt obligations compared to distributing dividends to shareholders. Research on the effects of leverage on Dividend Policy shows mixed results. Bawamenewi &amp; Afriyeni (2019) and Prabowo &amp; Alverina (2020) found that the higher the Debt to Equity Ratio (DER), the lower the Dividend Payout Ratio (DPR), because companies prioritize debt payments. However, Sari et al. (2019) and Wahyuni (2021) show that in some cases, companies with high leverage still pay large dividends to attract investors or because debt is managed productively to increase profits. Thus, the impact of leverage on dividends depends on the company’s debt management strategy and profitability. So, the first research hypothesis is formulated:</w:t>
      </w:r>
    </w:p>
    <w:p w14:paraId="5FE26F4E" w14:textId="77777777" w:rsidR="00293B82" w:rsidRDefault="00293B82" w:rsidP="00293B82">
      <w:pPr>
        <w:spacing w:line="360" w:lineRule="auto"/>
        <w:jc w:val="both"/>
        <w:rPr>
          <w:rFonts w:ascii="Times New Roman" w:eastAsia="Times New Roman" w:hAnsi="Times New Roman"/>
          <w:color w:val="000000"/>
          <w:sz w:val="24"/>
          <w:szCs w:val="24"/>
        </w:rPr>
      </w:pPr>
      <w:r>
        <w:rPr>
          <w:noProof/>
        </w:rPr>
        <w:drawing>
          <wp:inline distT="0" distB="0" distL="114300" distR="114300" wp14:anchorId="7FCC6D90" wp14:editId="60941E4D">
            <wp:extent cx="184785" cy="173990"/>
            <wp:effectExtent l="0" t="0" r="0" b="0"/>
            <wp:docPr id="10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785" cy="173990"/>
                    </a:xfrm>
                    <a:prstGeom prst="rect">
                      <a:avLst/>
                    </a:prstGeom>
                    <a:ln/>
                  </pic:spPr>
                </pic:pic>
              </a:graphicData>
            </a:graphic>
          </wp:inline>
        </w:drawing>
      </w:r>
      <w:r>
        <w:rPr>
          <w:noProof/>
        </w:rPr>
        <w:drawing>
          <wp:inline distT="0" distB="0" distL="114300" distR="114300" wp14:anchorId="2D5B6CE1" wp14:editId="276CC5B6">
            <wp:extent cx="184785" cy="173990"/>
            <wp:effectExtent l="0" t="0" r="0" b="0"/>
            <wp:docPr id="10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84785" cy="173990"/>
                    </a:xfrm>
                    <a:prstGeom prst="rect">
                      <a:avLst/>
                    </a:prstGeom>
                    <a:ln/>
                  </pic:spPr>
                </pic:pic>
              </a:graphicData>
            </a:graphic>
          </wp:inline>
        </w:drawing>
      </w:r>
      <w:r>
        <w:rPr>
          <w:rFonts w:ascii="Times New Roman" w:eastAsia="Times New Roman" w:hAnsi="Times New Roman"/>
          <w:b/>
          <w:color w:val="000000"/>
          <w:sz w:val="24"/>
          <w:szCs w:val="24"/>
        </w:rPr>
        <w:t xml:space="preserve"> : Debt to Equity Has an Affect the Dividend Payout Ratio</w:t>
      </w:r>
    </w:p>
    <w:p w14:paraId="0CD4F083" w14:textId="77777777" w:rsidR="00293B82" w:rsidRDefault="00293B82" w:rsidP="00293B82">
      <w:pPr>
        <w:spacing w:line="36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ab/>
      </w:r>
      <w:r>
        <w:rPr>
          <w:rFonts w:ascii="Times New Roman" w:eastAsia="Times New Roman" w:hAnsi="Times New Roman"/>
          <w:color w:val="000000"/>
          <w:sz w:val="24"/>
          <w:szCs w:val="24"/>
        </w:rPr>
        <w:t>Profitability proxied by Return on Asset (ROA) is hypothesized to have a positive influence on Dividend Policy. Companies that have high profits are more likely to distribute larger dividends to shareholders. Research shows that profitability, as measured by Return on Asset (ROA), has a positive effect on Dividend Policy. Hanif &amp; Bustamam (2017), Yuliantari et al. (2019), and Shaleh et al. (2023) found that companies with high ROA tend to distribute larger dividends due to their ability to generate profits from their assets. Kartika et al. (2015) and Prabowo &amp; Alverina (2020) also support these findings, stating that an increase in ROA is directly proportional to Dividend Payout Ratio (DPR). Thus, the higher the profitability of a company, the greater the opportunity for dividend distribution to shareholders. So, the second hypothesis is:</w:t>
      </w:r>
    </w:p>
    <w:p w14:paraId="601B77A7" w14:textId="77777777" w:rsidR="00293B82" w:rsidRDefault="00293B82" w:rsidP="00293B82">
      <w:pPr>
        <w:spacing w:line="360" w:lineRule="auto"/>
        <w:jc w:val="both"/>
        <w:rPr>
          <w:rFonts w:ascii="Times New Roman" w:eastAsia="Times New Roman" w:hAnsi="Times New Roman"/>
          <w:color w:val="000000"/>
          <w:sz w:val="24"/>
          <w:szCs w:val="24"/>
        </w:rPr>
      </w:pPr>
      <w:r>
        <w:rPr>
          <w:noProof/>
        </w:rPr>
        <w:drawing>
          <wp:inline distT="0" distB="0" distL="114300" distR="114300" wp14:anchorId="12E9A605" wp14:editId="2892CB8F">
            <wp:extent cx="184785" cy="173990"/>
            <wp:effectExtent l="0" t="0" r="0" b="0"/>
            <wp:docPr id="104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184785" cy="173990"/>
                    </a:xfrm>
                    <a:prstGeom prst="rect">
                      <a:avLst/>
                    </a:prstGeom>
                    <a:ln/>
                  </pic:spPr>
                </pic:pic>
              </a:graphicData>
            </a:graphic>
          </wp:inline>
        </w:drawing>
      </w:r>
      <w:r>
        <w:rPr>
          <w:noProof/>
        </w:rPr>
        <w:drawing>
          <wp:inline distT="0" distB="0" distL="114300" distR="114300" wp14:anchorId="2297FA34" wp14:editId="3B665AC8">
            <wp:extent cx="184785" cy="173990"/>
            <wp:effectExtent l="0" t="0" r="0" b="0"/>
            <wp:docPr id="105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184785" cy="173990"/>
                    </a:xfrm>
                    <a:prstGeom prst="rect">
                      <a:avLst/>
                    </a:prstGeom>
                    <a:ln/>
                  </pic:spPr>
                </pic:pic>
              </a:graphicData>
            </a:graphic>
          </wp:inline>
        </w:drawing>
      </w:r>
      <w:r>
        <w:rPr>
          <w:rFonts w:ascii="Times New Roman" w:eastAsia="Times New Roman" w:hAnsi="Times New Roman"/>
          <w:b/>
          <w:color w:val="000000"/>
          <w:sz w:val="24"/>
          <w:szCs w:val="24"/>
        </w:rPr>
        <w:t xml:space="preserve"> : Return on Asset Has a Positive Affect the Dividend Payout Ratio</w:t>
      </w:r>
    </w:p>
    <w:p w14:paraId="18CA2600" w14:textId="77777777" w:rsidR="00293B82" w:rsidRDefault="00293B82" w:rsidP="00293B82">
      <w:pPr>
        <w:spacing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t xml:space="preserve">Liquidity as measured by Current Ratio (CR) is expected to influence dividend policy, </w:t>
      </w:r>
      <w:r>
        <w:rPr>
          <w:rFonts w:ascii="Times New Roman" w:eastAsia="Times New Roman" w:hAnsi="Times New Roman"/>
          <w:color w:val="000000"/>
          <w:sz w:val="24"/>
          <w:szCs w:val="24"/>
        </w:rPr>
        <w:lastRenderedPageBreak/>
        <w:t>because companies with high liquidity have better financial flexibility.</w:t>
      </w:r>
      <w:r>
        <w:rPr>
          <w:rFonts w:ascii="Times New Roman" w:eastAsia="Times New Roman" w:hAnsi="Times New Roman"/>
          <w:b/>
          <w:color w:val="000000"/>
          <w:sz w:val="24"/>
          <w:szCs w:val="24"/>
        </w:rPr>
        <w:t xml:space="preserve"> </w:t>
      </w:r>
      <w:r>
        <w:rPr>
          <w:rFonts w:ascii="Times New Roman" w:eastAsia="Times New Roman" w:hAnsi="Times New Roman"/>
          <w:color w:val="000000"/>
          <w:sz w:val="24"/>
          <w:szCs w:val="24"/>
        </w:rPr>
        <w:t>However, previous research shows that this relationship can vary. Research shows that liquidity, as measured by Current Ratio (CR), has a positive effect on dividend policy. Wahyuni et al. (2022), Fadah et al. (2020), Krisardiyansah &amp; Amanah (2020), and Sari &amp; Sudjarni (2015) found that</w:t>
      </w:r>
      <w:r>
        <w:rPr>
          <w:rFonts w:ascii="Times New Roman" w:eastAsia="Times New Roman" w:hAnsi="Times New Roman"/>
          <w:b/>
          <w:color w:val="000000"/>
          <w:sz w:val="24"/>
          <w:szCs w:val="24"/>
        </w:rPr>
        <w:t xml:space="preserve"> </w:t>
      </w:r>
      <w:r>
        <w:rPr>
          <w:rFonts w:ascii="Times New Roman" w:eastAsia="Times New Roman" w:hAnsi="Times New Roman"/>
          <w:color w:val="000000"/>
          <w:sz w:val="24"/>
          <w:szCs w:val="24"/>
        </w:rPr>
        <w:t>companies with high CR tend to pay larger dividends because they have sufficient liquidity capacity to meet short-term obligations</w:t>
      </w:r>
      <w:r>
        <w:rPr>
          <w:rFonts w:ascii="Times New Roman" w:eastAsia="Times New Roman" w:hAnsi="Times New Roman"/>
          <w:b/>
          <w:color w:val="000000"/>
          <w:sz w:val="24"/>
          <w:szCs w:val="24"/>
        </w:rPr>
        <w:t xml:space="preserve">. </w:t>
      </w:r>
      <w:r>
        <w:rPr>
          <w:rFonts w:ascii="Times New Roman" w:eastAsia="Times New Roman" w:hAnsi="Times New Roman"/>
          <w:color w:val="000000"/>
          <w:sz w:val="24"/>
          <w:szCs w:val="24"/>
        </w:rPr>
        <w:t>However, some studies state that the effect of liquidity on dividends is not always significant, although higher liquidity can facilitate dividend payments (Tridara et al., 2024). Thus, efficient financial management is still required so that high liquidity does not reflect unproductive assets. The third hypothesis in this study is:</w:t>
      </w:r>
    </w:p>
    <w:p w14:paraId="1E2089CC" w14:textId="77777777" w:rsidR="00293B82" w:rsidRDefault="00293B82" w:rsidP="00293B82">
      <w:pPr>
        <w:spacing w:line="360" w:lineRule="auto"/>
        <w:jc w:val="both"/>
        <w:rPr>
          <w:rFonts w:ascii="Times New Roman" w:eastAsia="Times New Roman" w:hAnsi="Times New Roman"/>
          <w:color w:val="000000"/>
          <w:sz w:val="24"/>
          <w:szCs w:val="24"/>
        </w:rPr>
      </w:pPr>
      <w:r>
        <w:rPr>
          <w:noProof/>
        </w:rPr>
        <w:drawing>
          <wp:inline distT="0" distB="0" distL="114300" distR="114300" wp14:anchorId="60B585D8" wp14:editId="2EDC8B7B">
            <wp:extent cx="184785" cy="173990"/>
            <wp:effectExtent l="0" t="0" r="0" b="0"/>
            <wp:docPr id="105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184785" cy="173990"/>
                    </a:xfrm>
                    <a:prstGeom prst="rect">
                      <a:avLst/>
                    </a:prstGeom>
                    <a:ln/>
                  </pic:spPr>
                </pic:pic>
              </a:graphicData>
            </a:graphic>
          </wp:inline>
        </w:drawing>
      </w:r>
      <w:r>
        <w:rPr>
          <w:noProof/>
        </w:rPr>
        <w:drawing>
          <wp:inline distT="0" distB="0" distL="114300" distR="114300" wp14:anchorId="5DDFC99E" wp14:editId="6D46ADBA">
            <wp:extent cx="184785" cy="173990"/>
            <wp:effectExtent l="0" t="0" r="0" b="0"/>
            <wp:docPr id="105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184785" cy="173990"/>
                    </a:xfrm>
                    <a:prstGeom prst="rect">
                      <a:avLst/>
                    </a:prstGeom>
                    <a:ln/>
                  </pic:spPr>
                </pic:pic>
              </a:graphicData>
            </a:graphic>
          </wp:inline>
        </w:drawing>
      </w:r>
      <w:r>
        <w:rPr>
          <w:rFonts w:ascii="Times New Roman" w:eastAsia="Times New Roman" w:hAnsi="Times New Roman"/>
          <w:b/>
          <w:color w:val="000000"/>
          <w:sz w:val="24"/>
          <w:szCs w:val="24"/>
        </w:rPr>
        <w:t xml:space="preserve"> : Current Ratio Has a Positive Affect the Dividend Payout Ratio</w:t>
      </w:r>
    </w:p>
    <w:p w14:paraId="615308A3" w14:textId="77777777" w:rsidR="00293B82" w:rsidRDefault="00293B82" w:rsidP="00293B82">
      <w:pPr>
        <w:spacing w:line="36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ab/>
      </w:r>
      <w:r>
        <w:rPr>
          <w:rFonts w:ascii="Times New Roman" w:eastAsia="Times New Roman" w:hAnsi="Times New Roman"/>
          <w:color w:val="000000"/>
          <w:sz w:val="24"/>
          <w:szCs w:val="24"/>
        </w:rPr>
        <w:t>Profit growth (PG) is expected to affect dividend policy, given that companies experiencing profit growth tend to hold profits for expansion, thereby reducing dividend payments. Research on the effect of profit growth on dividend policy shows mixed results. Cahyanti (2018) and Arimbi et al. (2024) found that earnings growth has a positive effect on dividends, where the higher the company's profit, the greater the likelihood of dividends being distributed. However, other studies show the opposite result. Bayu Eksan Prastyo &amp; Kusumawati (2021) and Novianti &amp; Amanah (2017) found that earnings growth has a negative effect on dividends, because growing companies tend to retain profits for future investment. Thus, the effect of earnings growth on dividend policy depends on the company's financial strategy and investment priorities. The fourth hypothesis in this study is:</w:t>
      </w:r>
    </w:p>
    <w:p w14:paraId="497F3187" w14:textId="77777777" w:rsidR="00293B82" w:rsidRDefault="00293B82" w:rsidP="00293B82">
      <w:pPr>
        <w:spacing w:line="360" w:lineRule="auto"/>
        <w:jc w:val="both"/>
        <w:rPr>
          <w:rFonts w:ascii="Times New Roman" w:eastAsia="Times New Roman" w:hAnsi="Times New Roman"/>
          <w:color w:val="000000"/>
          <w:sz w:val="24"/>
          <w:szCs w:val="24"/>
        </w:rPr>
      </w:pPr>
      <w:r>
        <w:rPr>
          <w:noProof/>
        </w:rPr>
        <w:drawing>
          <wp:inline distT="0" distB="0" distL="114300" distR="114300" wp14:anchorId="4B83B806" wp14:editId="173796F9">
            <wp:extent cx="184785" cy="173990"/>
            <wp:effectExtent l="0" t="0" r="0" b="0"/>
            <wp:docPr id="105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84785" cy="173990"/>
                    </a:xfrm>
                    <a:prstGeom prst="rect">
                      <a:avLst/>
                    </a:prstGeom>
                    <a:ln/>
                  </pic:spPr>
                </pic:pic>
              </a:graphicData>
            </a:graphic>
          </wp:inline>
        </w:drawing>
      </w:r>
      <w:r>
        <w:rPr>
          <w:noProof/>
        </w:rPr>
        <w:drawing>
          <wp:inline distT="0" distB="0" distL="114300" distR="114300" wp14:anchorId="4AA78B4C" wp14:editId="1897CF55">
            <wp:extent cx="184785" cy="173990"/>
            <wp:effectExtent l="0" t="0" r="0" b="0"/>
            <wp:docPr id="105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184785" cy="173990"/>
                    </a:xfrm>
                    <a:prstGeom prst="rect">
                      <a:avLst/>
                    </a:prstGeom>
                    <a:ln/>
                  </pic:spPr>
                </pic:pic>
              </a:graphicData>
            </a:graphic>
          </wp:inline>
        </w:drawing>
      </w:r>
      <w:r>
        <w:rPr>
          <w:rFonts w:ascii="Times New Roman" w:eastAsia="Times New Roman" w:hAnsi="Times New Roman"/>
          <w:b/>
          <w:color w:val="000000"/>
          <w:sz w:val="24"/>
          <w:szCs w:val="24"/>
        </w:rPr>
        <w:t xml:space="preserve"> : Profit Growth Has an Affect the Dividend Payout Ratio</w:t>
      </w:r>
    </w:p>
    <w:p w14:paraId="2F9BD97E" w14:textId="77777777" w:rsidR="00293B82" w:rsidRDefault="00293B82" w:rsidP="00293B82">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Firm size, which reflects the scale of operations and financial capacity, is hypothesized to have a positive relationship with dividend policy. Larger companies usually have more stable resources and are more likely to distribute dividends to shareholders. Noefiansyah &amp; Idayati (2019), Ardiyanto &amp; Laily (2023), Agustino &amp; Dewi (2019), Ihsaniah et al. (2020), and Firmansah (2017) shows that firm size has a positive effect on dividend policy. Larger companies tend to pay out larger dividends because they have easier access to capital markets and lower agency costs large companies are also better able to obtain external funding, so they can maintain a stable dividend policy to attract investors. The fifth hypothesis in this study is:</w:t>
      </w:r>
    </w:p>
    <w:p w14:paraId="5A0E208B" w14:textId="4DA35A99" w:rsidR="00293B82" w:rsidRDefault="00837505" w:rsidP="00293B82">
      <w:pPr>
        <w:spacing w:line="360" w:lineRule="auto"/>
        <w:jc w:val="both"/>
        <w:rPr>
          <w:rFonts w:ascii="Times New Roman" w:eastAsia="Times New Roman" w:hAnsi="Times New Roman"/>
          <w:b/>
          <w:color w:val="000000"/>
          <w:sz w:val="24"/>
          <w:szCs w:val="24"/>
        </w:rPr>
      </w:pPr>
      <w:r w:rsidRPr="00837505">
        <w:rPr>
          <w:noProof/>
          <w14:ligatures w14:val="standardContextual"/>
        </w:rPr>
        <w:pict w14:anchorId="3483D0BD">
          <v:shape id="image9.png" o:spid="_x0000_i1025" type="#_x0000_t75" alt="" style="width:15.05pt;height:13.75pt;visibility:visible;mso-wrap-style:square;mso-width-percent:0;mso-height-percent:0;mso-width-percent:0;mso-height-percent:0">
            <v:imagedata r:id="rId13" o:title=""/>
          </v:shape>
        </w:pict>
      </w:r>
      <w:r w:rsidR="00293B82">
        <w:rPr>
          <w:noProof/>
        </w:rPr>
        <w:drawing>
          <wp:inline distT="0" distB="0" distL="114300" distR="114300" wp14:anchorId="5245B4F1" wp14:editId="573B6E92">
            <wp:extent cx="184785" cy="173990"/>
            <wp:effectExtent l="0" t="0" r="0" b="0"/>
            <wp:docPr id="105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184785" cy="173990"/>
                    </a:xfrm>
                    <a:prstGeom prst="rect">
                      <a:avLst/>
                    </a:prstGeom>
                    <a:ln/>
                  </pic:spPr>
                </pic:pic>
              </a:graphicData>
            </a:graphic>
          </wp:inline>
        </w:drawing>
      </w:r>
      <w:r w:rsidR="00293B82">
        <w:rPr>
          <w:rFonts w:ascii="Times New Roman" w:eastAsia="Times New Roman" w:hAnsi="Times New Roman"/>
          <w:b/>
          <w:color w:val="000000"/>
          <w:sz w:val="24"/>
          <w:szCs w:val="24"/>
        </w:rPr>
        <w:t xml:space="preserve"> : Firm Size Has a Positive Affect the Dividend Payout Ratio</w:t>
      </w:r>
    </w:p>
    <w:p w14:paraId="0ADFBC73" w14:textId="77777777" w:rsidR="00341E3E" w:rsidRDefault="00341E3E" w:rsidP="00293B82">
      <w:pPr>
        <w:spacing w:line="360" w:lineRule="auto"/>
        <w:jc w:val="both"/>
        <w:rPr>
          <w:rFonts w:ascii="Times New Roman" w:eastAsia="Times New Roman" w:hAnsi="Times New Roman"/>
          <w:color w:val="000000"/>
          <w:sz w:val="24"/>
          <w:szCs w:val="24"/>
        </w:rPr>
      </w:pPr>
    </w:p>
    <w:p w14:paraId="6282374D" w14:textId="77777777" w:rsidR="00341E3E" w:rsidRDefault="00341E3E" w:rsidP="00293B82">
      <w:pPr>
        <w:spacing w:line="360" w:lineRule="auto"/>
        <w:jc w:val="both"/>
        <w:rPr>
          <w:rFonts w:ascii="Times New Roman" w:eastAsia="Times New Roman" w:hAnsi="Times New Roman"/>
          <w:color w:val="000000"/>
          <w:sz w:val="24"/>
          <w:szCs w:val="24"/>
        </w:rPr>
      </w:pPr>
    </w:p>
    <w:p w14:paraId="16A616D2" w14:textId="77777777" w:rsidR="00341E3E" w:rsidRDefault="00341E3E" w:rsidP="00293B82">
      <w:pPr>
        <w:spacing w:line="360" w:lineRule="auto"/>
        <w:jc w:val="both"/>
        <w:rPr>
          <w:rFonts w:ascii="Times New Roman" w:eastAsia="Times New Roman" w:hAnsi="Times New Roman"/>
          <w:color w:val="000000"/>
          <w:sz w:val="24"/>
          <w:szCs w:val="24"/>
        </w:rPr>
      </w:pPr>
    </w:p>
    <w:p w14:paraId="59C10055" w14:textId="38906601" w:rsidR="00293B82" w:rsidRDefault="00293B82" w:rsidP="00293B82">
      <w:pPr>
        <w:spacing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Thus, the research framework model in this study is:</w:t>
      </w:r>
    </w:p>
    <w:p w14:paraId="69850108" w14:textId="2ABB9CE7" w:rsidR="00293B82" w:rsidRDefault="00293B82" w:rsidP="00F16668">
      <w:pPr>
        <w:spacing w:line="360" w:lineRule="auto"/>
        <w:jc w:val="center"/>
        <w:rPr>
          <w:rFonts w:asciiTheme="majorBidi" w:hAnsiTheme="majorBidi" w:cstheme="majorBidi"/>
          <w:sz w:val="24"/>
          <w:szCs w:val="24"/>
        </w:rPr>
      </w:pPr>
      <w:r>
        <w:rPr>
          <w:noProof/>
        </w:rPr>
        <w:drawing>
          <wp:inline distT="0" distB="0" distL="114300" distR="114300" wp14:anchorId="7A7F13DE" wp14:editId="58E8B908">
            <wp:extent cx="3695700" cy="2127250"/>
            <wp:effectExtent l="0" t="0" r="0" b="6350"/>
            <wp:docPr id="1057" name="image18.png" descr="A diagram of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diagram of a company&#10;&#10;Description automatically generated"/>
                    <pic:cNvPicPr preferRelativeResize="0"/>
                  </pic:nvPicPr>
                  <pic:blipFill>
                    <a:blip r:embed="rId15"/>
                    <a:srcRect/>
                    <a:stretch>
                      <a:fillRect/>
                    </a:stretch>
                  </pic:blipFill>
                  <pic:spPr>
                    <a:xfrm>
                      <a:off x="0" y="0"/>
                      <a:ext cx="3695700" cy="2127250"/>
                    </a:xfrm>
                    <a:prstGeom prst="rect">
                      <a:avLst/>
                    </a:prstGeom>
                    <a:ln/>
                  </pic:spPr>
                </pic:pic>
              </a:graphicData>
            </a:graphic>
          </wp:inline>
        </w:drawing>
      </w:r>
    </w:p>
    <w:p w14:paraId="4CDA0154" w14:textId="4687C2AE" w:rsidR="00293B82" w:rsidRPr="00F16668" w:rsidRDefault="00293B82" w:rsidP="00293B82">
      <w:pPr>
        <w:ind w:left="-1418" w:right="2741" w:firstLine="1418"/>
        <w:rPr>
          <w:rFonts w:ascii="Times New Roman" w:eastAsia="Times New Roman" w:hAnsi="Times New Roman"/>
          <w:sz w:val="20"/>
          <w:szCs w:val="20"/>
        </w:rPr>
      </w:pPr>
      <w:r>
        <w:rPr>
          <w:rFonts w:ascii="Times New Roman" w:eastAsia="Times New Roman" w:hAnsi="Times New Roman"/>
          <w:b/>
          <w:sz w:val="24"/>
          <w:szCs w:val="24"/>
        </w:rPr>
        <w:t xml:space="preserve">                        </w:t>
      </w:r>
      <w:r w:rsidR="00F16668">
        <w:rPr>
          <w:rFonts w:ascii="Times New Roman" w:eastAsia="Times New Roman" w:hAnsi="Times New Roman"/>
          <w:b/>
          <w:sz w:val="24"/>
          <w:szCs w:val="24"/>
        </w:rPr>
        <w:t xml:space="preserve">   </w:t>
      </w:r>
      <w:r w:rsidRPr="00F16668">
        <w:rPr>
          <w:rFonts w:ascii="Times New Roman" w:eastAsia="Times New Roman" w:hAnsi="Times New Roman"/>
          <w:b/>
          <w:sz w:val="20"/>
          <w:szCs w:val="20"/>
        </w:rPr>
        <w:t>Figure 3. Research Model.</w:t>
      </w:r>
    </w:p>
    <w:p w14:paraId="001562E7" w14:textId="74DE4698" w:rsidR="00293B82" w:rsidRDefault="00F16668" w:rsidP="00293B82">
      <w:pPr>
        <w:spacing w:line="360" w:lineRule="auto"/>
        <w:ind w:left="720" w:firstLine="720"/>
        <w:jc w:val="both"/>
        <w:rPr>
          <w:rFonts w:asciiTheme="majorBidi" w:hAnsiTheme="majorBidi" w:cstheme="majorBidi"/>
          <w:sz w:val="24"/>
          <w:szCs w:val="24"/>
        </w:rPr>
      </w:pPr>
      <w:r>
        <w:rPr>
          <w:rFonts w:ascii="Times New Roman" w:eastAsia="Times New Roman" w:hAnsi="Times New Roman"/>
          <w:i/>
          <w:sz w:val="20"/>
          <w:szCs w:val="20"/>
        </w:rPr>
        <w:t xml:space="preserve">   </w:t>
      </w:r>
      <w:r w:rsidR="00293B82" w:rsidRPr="00F07AC2">
        <w:rPr>
          <w:rFonts w:ascii="Times New Roman" w:eastAsia="Times New Roman" w:hAnsi="Times New Roman"/>
          <w:iCs/>
          <w:sz w:val="20"/>
          <w:szCs w:val="20"/>
        </w:rPr>
        <w:t>Sources</w:t>
      </w:r>
      <w:r w:rsidR="00293B82" w:rsidRPr="00F16668">
        <w:rPr>
          <w:rFonts w:ascii="Times New Roman" w:eastAsia="Times New Roman" w:hAnsi="Times New Roman"/>
          <w:i/>
          <w:sz w:val="20"/>
          <w:szCs w:val="20"/>
        </w:rPr>
        <w:t xml:space="preserve">: </w:t>
      </w:r>
      <w:r w:rsidR="00293B82" w:rsidRPr="00F16668">
        <w:rPr>
          <w:rFonts w:ascii="Times New Roman" w:eastAsia="Times New Roman" w:hAnsi="Times New Roman"/>
          <w:sz w:val="20"/>
          <w:szCs w:val="20"/>
        </w:rPr>
        <w:t>Isti Fadah et al. (2020)</w:t>
      </w:r>
      <w:r w:rsidR="00293B82" w:rsidRPr="00F16668">
        <w:rPr>
          <w:rFonts w:ascii="Times New Roman" w:eastAsia="Times New Roman" w:hAnsi="Times New Roman"/>
          <w:i/>
          <w:sz w:val="20"/>
          <w:szCs w:val="20"/>
        </w:rPr>
        <w:t xml:space="preserve"> and </w:t>
      </w:r>
      <w:r w:rsidR="00293B82" w:rsidRPr="00F16668">
        <w:rPr>
          <w:rFonts w:ascii="Times New Roman" w:eastAsia="Times New Roman" w:hAnsi="Times New Roman"/>
          <w:sz w:val="20"/>
          <w:szCs w:val="20"/>
        </w:rPr>
        <w:t>Zarah Puspitaningtyas (2019)</w:t>
      </w:r>
    </w:p>
    <w:p w14:paraId="6C325C67" w14:textId="5EBA2268" w:rsidR="00293B82" w:rsidRDefault="00293B82" w:rsidP="00293B82">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This research model explores the influence of five financial factors-leverage, profitability, liquidity, profit growth, and firm size-on dividend policy in the Indonesian banking sector. The Debt to</w:t>
      </w:r>
      <w:r w:rsidR="00F16668">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Equity Ratio (DER) reflects the use of debt which may limit dividend payments, while the Return on Assets (ROA) indicates the firm's ability to generate profits which may increase dividend distribution. The Current Ratio (CR) measures liquidity, the effect of which on dividends has varied in previous studies. Profit growth is often associated with reduced dividends as companies prefer to retain profits for expansion. In contrast, firm size tends to have a more stable and consistent dividend policy. This study aims to understand how these factors contribute to the dividend policy of banks for the 2019-2023 period. The results are expected to provide insights for company management in managing profit distribution and help investors in making investment decisions.</w:t>
      </w:r>
    </w:p>
    <w:p w14:paraId="630FC8F6" w14:textId="77777777" w:rsidR="00293B82" w:rsidRDefault="00293B82" w:rsidP="00293B82">
      <w:pPr>
        <w:spacing w:line="360" w:lineRule="auto"/>
        <w:ind w:firstLine="720"/>
        <w:jc w:val="both"/>
        <w:rPr>
          <w:rFonts w:ascii="Times New Roman" w:eastAsia="Times New Roman" w:hAnsi="Times New Roman"/>
          <w:color w:val="000000"/>
          <w:sz w:val="24"/>
          <w:szCs w:val="24"/>
        </w:rPr>
      </w:pPr>
    </w:p>
    <w:p w14:paraId="6F9D74C8" w14:textId="77777777" w:rsidR="00293B82" w:rsidRDefault="00293B82" w:rsidP="00293B82">
      <w:pPr>
        <w:pBdr>
          <w:top w:val="nil"/>
          <w:left w:val="nil"/>
          <w:bottom w:val="nil"/>
          <w:right w:val="nil"/>
          <w:between w:val="nil"/>
        </w:pBdr>
        <w:spacing w:line="360" w:lineRule="auto"/>
        <w:ind w:right="48"/>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RESEARCH METHOD</w:t>
      </w:r>
    </w:p>
    <w:p w14:paraId="31F07D9D" w14:textId="069620AF" w:rsidR="004F1F84" w:rsidRDefault="00293B82" w:rsidP="00293B82">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This study uses a quantitative approach with a causality design to test the causal relationship between financial performance and dividend policy in banking companies listed on the Indonesia Stock Exchange (IDX) during the 2019-2023 period. Secondary data was obtained from annual financial reports and IDX publications, with a sample of 12 companies selected through purposive sampling based on the criteria of consecutive dividend distribution for five years and the availability of complete financial reports, resulting in 60 observations. Independent variables include leverage (Debt to Equity Ratio), profitability (Return on Asset), liquidity (Current Ratio), Profit Growth, and Firm size, while the dependent variable is dividend policy as measured by Dividend Payout Ratio. Data analysis was carried out using panel data regression with the Common Effect Model, Fixed Effect Model, and Random Effect </w:t>
      </w:r>
      <w:r>
        <w:rPr>
          <w:rFonts w:ascii="Times New Roman" w:eastAsia="Times New Roman" w:hAnsi="Times New Roman"/>
          <w:color w:val="000000"/>
          <w:sz w:val="24"/>
          <w:szCs w:val="24"/>
        </w:rPr>
        <w:lastRenderedPageBreak/>
        <w:t>Model approaches, and tested with descriptive statistical analysis, classical assumption tests, and hypothesis testing through the t test and F test. This study also uses multiple linear regression analysis to determine the simultaneous and partial effects of independent variables on dividend policy, with data validity and reliability tested through normality, multicollinearity, heteroscedasticity, and autocorrelation tests.</w:t>
      </w:r>
    </w:p>
    <w:p w14:paraId="1D984A86" w14:textId="766FB3AA" w:rsidR="0055531E" w:rsidRPr="00291FD0" w:rsidRDefault="0055531E" w:rsidP="0055531E">
      <w:pPr>
        <w:spacing w:line="360" w:lineRule="auto"/>
        <w:jc w:val="center"/>
        <w:rPr>
          <w:rFonts w:ascii="Times New Roman" w:eastAsia="Times New Roman" w:hAnsi="Times New Roman"/>
          <w:b/>
          <w:color w:val="000000"/>
          <w:sz w:val="24"/>
          <w:szCs w:val="24"/>
        </w:rPr>
      </w:pPr>
      <w:r w:rsidRPr="00291FD0">
        <w:rPr>
          <w:rFonts w:ascii="Times New Roman" w:eastAsia="Times New Roman" w:hAnsi="Times New Roman"/>
          <w:b/>
          <w:color w:val="000000"/>
          <w:sz w:val="24"/>
          <w:szCs w:val="24"/>
        </w:rPr>
        <w:t>Table 1. Operational Definitions and Measurement of Variables</w:t>
      </w:r>
    </w:p>
    <w:tbl>
      <w:tblPr>
        <w:tblW w:w="8885" w:type="dxa"/>
        <w:jc w:val="center"/>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1480"/>
        <w:gridCol w:w="4101"/>
        <w:gridCol w:w="3304"/>
      </w:tblGrid>
      <w:tr w:rsidR="0055531E" w14:paraId="31CA1AE6" w14:textId="77777777" w:rsidTr="00F16668">
        <w:trPr>
          <w:trHeight w:val="241"/>
          <w:tblHeader/>
          <w:jc w:val="center"/>
        </w:trPr>
        <w:tc>
          <w:tcPr>
            <w:tcW w:w="1480" w:type="dxa"/>
            <w:tcBorders>
              <w:top w:val="single" w:sz="4" w:space="0" w:color="000000"/>
              <w:bottom w:val="single" w:sz="4" w:space="0" w:color="000000"/>
            </w:tcBorders>
            <w:tcMar>
              <w:top w:w="0" w:type="dxa"/>
              <w:left w:w="115" w:type="dxa"/>
              <w:bottom w:w="0" w:type="dxa"/>
              <w:right w:w="115" w:type="dxa"/>
            </w:tcMar>
            <w:vAlign w:val="center"/>
          </w:tcPr>
          <w:p w14:paraId="5C92C312" w14:textId="77777777" w:rsidR="0055531E" w:rsidRDefault="0055531E" w:rsidP="00F16668">
            <w:pPr>
              <w:jc w:val="center"/>
              <w:rPr>
                <w:rFonts w:ascii="Times New Roman" w:eastAsia="Times New Roman" w:hAnsi="Times New Roman"/>
                <w:sz w:val="24"/>
                <w:szCs w:val="24"/>
              </w:rPr>
            </w:pPr>
            <w:r>
              <w:rPr>
                <w:rFonts w:ascii="Times New Roman" w:eastAsia="Times New Roman" w:hAnsi="Times New Roman"/>
                <w:b/>
                <w:color w:val="000000"/>
                <w:sz w:val="24"/>
                <w:szCs w:val="24"/>
              </w:rPr>
              <w:t>Variable</w:t>
            </w:r>
          </w:p>
        </w:tc>
        <w:tc>
          <w:tcPr>
            <w:tcW w:w="4101" w:type="dxa"/>
            <w:tcBorders>
              <w:top w:val="single" w:sz="4" w:space="0" w:color="000000"/>
              <w:bottom w:val="single" w:sz="4" w:space="0" w:color="000000"/>
            </w:tcBorders>
            <w:tcMar>
              <w:top w:w="0" w:type="dxa"/>
              <w:left w:w="115" w:type="dxa"/>
              <w:bottom w:w="0" w:type="dxa"/>
              <w:right w:w="115" w:type="dxa"/>
            </w:tcMar>
            <w:vAlign w:val="center"/>
          </w:tcPr>
          <w:p w14:paraId="05526BB3"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Definition</w:t>
            </w:r>
          </w:p>
        </w:tc>
        <w:tc>
          <w:tcPr>
            <w:tcW w:w="3304" w:type="dxa"/>
            <w:tcBorders>
              <w:top w:val="single" w:sz="4" w:space="0" w:color="000000"/>
              <w:bottom w:val="single" w:sz="4" w:space="0" w:color="000000"/>
            </w:tcBorders>
            <w:tcMar>
              <w:top w:w="0" w:type="dxa"/>
              <w:left w:w="115" w:type="dxa"/>
              <w:bottom w:w="0" w:type="dxa"/>
              <w:right w:w="115" w:type="dxa"/>
            </w:tcMar>
            <w:vAlign w:val="center"/>
          </w:tcPr>
          <w:p w14:paraId="45FA638E"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Measurement</w:t>
            </w:r>
          </w:p>
        </w:tc>
      </w:tr>
      <w:tr w:rsidR="0055531E" w14:paraId="6D01DDDC" w14:textId="77777777" w:rsidTr="00F16668">
        <w:trPr>
          <w:trHeight w:val="233"/>
          <w:jc w:val="center"/>
        </w:trPr>
        <w:tc>
          <w:tcPr>
            <w:tcW w:w="1480" w:type="dxa"/>
            <w:tcBorders>
              <w:top w:val="single" w:sz="4" w:space="0" w:color="000000"/>
            </w:tcBorders>
            <w:tcMar>
              <w:top w:w="0" w:type="dxa"/>
              <w:left w:w="115" w:type="dxa"/>
              <w:bottom w:w="0" w:type="dxa"/>
              <w:right w:w="115" w:type="dxa"/>
            </w:tcMar>
            <w:vAlign w:val="center"/>
          </w:tcPr>
          <w:p w14:paraId="3176BB01"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b/>
                <w:sz w:val="24"/>
                <w:szCs w:val="24"/>
              </w:rPr>
              <w:t>Dependent:</w:t>
            </w:r>
          </w:p>
        </w:tc>
        <w:tc>
          <w:tcPr>
            <w:tcW w:w="4101" w:type="dxa"/>
            <w:tcBorders>
              <w:top w:val="single" w:sz="4" w:space="0" w:color="000000"/>
            </w:tcBorders>
            <w:tcMar>
              <w:top w:w="0" w:type="dxa"/>
              <w:left w:w="115" w:type="dxa"/>
              <w:bottom w:w="0" w:type="dxa"/>
              <w:right w:w="115" w:type="dxa"/>
            </w:tcMar>
            <w:vAlign w:val="center"/>
          </w:tcPr>
          <w:p w14:paraId="32F0D9D9" w14:textId="77777777" w:rsidR="0055531E" w:rsidRDefault="0055531E" w:rsidP="00EB1759">
            <w:pPr>
              <w:jc w:val="center"/>
              <w:rPr>
                <w:rFonts w:ascii="Times New Roman" w:eastAsia="Times New Roman" w:hAnsi="Times New Roman"/>
                <w:sz w:val="24"/>
                <w:szCs w:val="24"/>
              </w:rPr>
            </w:pPr>
          </w:p>
        </w:tc>
        <w:tc>
          <w:tcPr>
            <w:tcW w:w="3304" w:type="dxa"/>
            <w:tcBorders>
              <w:top w:val="single" w:sz="4" w:space="0" w:color="000000"/>
            </w:tcBorders>
            <w:tcMar>
              <w:top w:w="0" w:type="dxa"/>
              <w:left w:w="115" w:type="dxa"/>
              <w:bottom w:w="0" w:type="dxa"/>
              <w:right w:w="115" w:type="dxa"/>
            </w:tcMar>
            <w:vAlign w:val="center"/>
          </w:tcPr>
          <w:p w14:paraId="5CE2346B" w14:textId="77777777" w:rsidR="0055531E" w:rsidRDefault="0055531E" w:rsidP="00EB1759">
            <w:pPr>
              <w:jc w:val="center"/>
              <w:rPr>
                <w:rFonts w:ascii="Times New Roman" w:eastAsia="Times New Roman" w:hAnsi="Times New Roman"/>
                <w:sz w:val="24"/>
                <w:szCs w:val="24"/>
              </w:rPr>
            </w:pPr>
          </w:p>
        </w:tc>
      </w:tr>
      <w:tr w:rsidR="0055531E" w14:paraId="05E80212" w14:textId="77777777" w:rsidTr="00F16668">
        <w:trPr>
          <w:trHeight w:val="962"/>
          <w:jc w:val="center"/>
        </w:trPr>
        <w:tc>
          <w:tcPr>
            <w:tcW w:w="1480" w:type="dxa"/>
            <w:tcMar>
              <w:top w:w="0" w:type="dxa"/>
              <w:left w:w="115" w:type="dxa"/>
              <w:bottom w:w="0" w:type="dxa"/>
              <w:right w:w="115" w:type="dxa"/>
            </w:tcMar>
            <w:vAlign w:val="center"/>
          </w:tcPr>
          <w:p w14:paraId="7BA93DD3"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sz w:val="24"/>
                <w:szCs w:val="24"/>
              </w:rPr>
              <w:t>Dividend Payout Ratio (DPR)</w:t>
            </w:r>
          </w:p>
        </w:tc>
        <w:tc>
          <w:tcPr>
            <w:tcW w:w="4101" w:type="dxa"/>
            <w:tcMar>
              <w:top w:w="0" w:type="dxa"/>
              <w:left w:w="115" w:type="dxa"/>
              <w:bottom w:w="0" w:type="dxa"/>
              <w:right w:w="115" w:type="dxa"/>
            </w:tcMar>
            <w:vAlign w:val="center"/>
          </w:tcPr>
          <w:p w14:paraId="26B5C010"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sz w:val="24"/>
                <w:szCs w:val="24"/>
              </w:rPr>
              <w:t>DPR is the percentage of net income distributed to shareholders as dividends, reflecting the proportion of earnings allocated for dividends versus retained for reinvestment.</w:t>
            </w:r>
          </w:p>
        </w:tc>
        <w:tc>
          <w:tcPr>
            <w:tcW w:w="3304" w:type="dxa"/>
            <w:tcMar>
              <w:top w:w="0" w:type="dxa"/>
              <w:left w:w="115" w:type="dxa"/>
              <w:bottom w:w="0" w:type="dxa"/>
              <w:right w:w="115" w:type="dxa"/>
            </w:tcMar>
            <w:vAlign w:val="center"/>
          </w:tcPr>
          <w:p w14:paraId="2595FBC2" w14:textId="77777777" w:rsidR="0055531E" w:rsidRDefault="0055531E" w:rsidP="00EB1759">
            <w:pPr>
              <w:jc w:val="center"/>
              <w:rPr>
                <w:rFonts w:ascii="Times New Roman" w:eastAsia="Times New Roman" w:hAnsi="Times New Roman"/>
                <w:sz w:val="24"/>
                <w:szCs w:val="24"/>
              </w:rPr>
            </w:pPr>
            <w:r>
              <w:rPr>
                <w:noProof/>
              </w:rPr>
              <w:drawing>
                <wp:inline distT="0" distB="0" distL="114300" distR="114300" wp14:anchorId="40CE0730" wp14:editId="00AB3AA6">
                  <wp:extent cx="1568450" cy="347980"/>
                  <wp:effectExtent l="0" t="0" r="0" b="0"/>
                  <wp:docPr id="1058" name="image19.png" descr="A black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058" name="image19.png" descr="A black background with white text&#10;&#10;AI-generated content may be incorrect."/>
                          <pic:cNvPicPr preferRelativeResize="0"/>
                        </pic:nvPicPr>
                        <pic:blipFill>
                          <a:blip r:embed="rId16"/>
                          <a:srcRect/>
                          <a:stretch>
                            <a:fillRect/>
                          </a:stretch>
                        </pic:blipFill>
                        <pic:spPr>
                          <a:xfrm>
                            <a:off x="0" y="0"/>
                            <a:ext cx="1568450" cy="347980"/>
                          </a:xfrm>
                          <a:prstGeom prst="rect">
                            <a:avLst/>
                          </a:prstGeom>
                          <a:ln/>
                        </pic:spPr>
                      </pic:pic>
                    </a:graphicData>
                  </a:graphic>
                </wp:inline>
              </w:drawing>
            </w:r>
          </w:p>
        </w:tc>
      </w:tr>
      <w:tr w:rsidR="0055531E" w14:paraId="46B4AF7A" w14:textId="77777777" w:rsidTr="00F16668">
        <w:trPr>
          <w:trHeight w:val="233"/>
          <w:jc w:val="center"/>
        </w:trPr>
        <w:tc>
          <w:tcPr>
            <w:tcW w:w="1480" w:type="dxa"/>
            <w:tcMar>
              <w:top w:w="0" w:type="dxa"/>
              <w:left w:w="115" w:type="dxa"/>
              <w:bottom w:w="0" w:type="dxa"/>
              <w:right w:w="115" w:type="dxa"/>
            </w:tcMar>
            <w:vAlign w:val="center"/>
          </w:tcPr>
          <w:p w14:paraId="30A40FAF"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b/>
                <w:sz w:val="24"/>
                <w:szCs w:val="24"/>
              </w:rPr>
              <w:t>Independent:</w:t>
            </w:r>
          </w:p>
        </w:tc>
        <w:tc>
          <w:tcPr>
            <w:tcW w:w="4101" w:type="dxa"/>
            <w:tcMar>
              <w:top w:w="0" w:type="dxa"/>
              <w:left w:w="115" w:type="dxa"/>
              <w:bottom w:w="0" w:type="dxa"/>
              <w:right w:w="115" w:type="dxa"/>
            </w:tcMar>
            <w:vAlign w:val="center"/>
          </w:tcPr>
          <w:p w14:paraId="20FA6752" w14:textId="77777777" w:rsidR="0055531E" w:rsidRDefault="0055531E" w:rsidP="00EB1759">
            <w:pPr>
              <w:jc w:val="center"/>
              <w:rPr>
                <w:rFonts w:ascii="Times New Roman" w:eastAsia="Times New Roman" w:hAnsi="Times New Roman"/>
                <w:color w:val="000000"/>
                <w:sz w:val="24"/>
                <w:szCs w:val="24"/>
              </w:rPr>
            </w:pPr>
          </w:p>
        </w:tc>
        <w:tc>
          <w:tcPr>
            <w:tcW w:w="3304" w:type="dxa"/>
            <w:tcMar>
              <w:top w:w="0" w:type="dxa"/>
              <w:left w:w="115" w:type="dxa"/>
              <w:bottom w:w="0" w:type="dxa"/>
              <w:right w:w="115" w:type="dxa"/>
            </w:tcMar>
            <w:vAlign w:val="center"/>
          </w:tcPr>
          <w:p w14:paraId="415A77DA" w14:textId="77777777" w:rsidR="0055531E" w:rsidRDefault="0055531E" w:rsidP="00EB1759">
            <w:pPr>
              <w:jc w:val="center"/>
              <w:rPr>
                <w:rFonts w:ascii="Times New Roman" w:eastAsia="Times New Roman" w:hAnsi="Times New Roman"/>
                <w:color w:val="000000"/>
                <w:sz w:val="24"/>
                <w:szCs w:val="24"/>
              </w:rPr>
            </w:pPr>
          </w:p>
        </w:tc>
      </w:tr>
      <w:tr w:rsidR="0055531E" w14:paraId="5E8E9703" w14:textId="77777777" w:rsidTr="00F16668">
        <w:trPr>
          <w:trHeight w:val="762"/>
          <w:jc w:val="center"/>
        </w:trPr>
        <w:tc>
          <w:tcPr>
            <w:tcW w:w="1480" w:type="dxa"/>
            <w:tcMar>
              <w:top w:w="0" w:type="dxa"/>
              <w:left w:w="115" w:type="dxa"/>
              <w:bottom w:w="0" w:type="dxa"/>
              <w:right w:w="115" w:type="dxa"/>
            </w:tcMar>
            <w:vAlign w:val="center"/>
          </w:tcPr>
          <w:p w14:paraId="1CBCA786"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sz w:val="24"/>
                <w:szCs w:val="24"/>
              </w:rPr>
              <w:t>Debt to Equity Ratio (DER)</w:t>
            </w:r>
          </w:p>
        </w:tc>
        <w:tc>
          <w:tcPr>
            <w:tcW w:w="4101" w:type="dxa"/>
            <w:tcMar>
              <w:top w:w="0" w:type="dxa"/>
              <w:left w:w="115" w:type="dxa"/>
              <w:bottom w:w="0" w:type="dxa"/>
              <w:right w:w="115" w:type="dxa"/>
            </w:tcMar>
            <w:vAlign w:val="center"/>
          </w:tcPr>
          <w:p w14:paraId="0C738F1B"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Debt to Equity Ratio (DER) compares a company's total liabilities to its equity, reflecting the reliance on debt versus its own capital for funding.</w:t>
            </w:r>
          </w:p>
        </w:tc>
        <w:tc>
          <w:tcPr>
            <w:tcW w:w="3304" w:type="dxa"/>
            <w:tcMar>
              <w:top w:w="0" w:type="dxa"/>
              <w:left w:w="115" w:type="dxa"/>
              <w:bottom w:w="0" w:type="dxa"/>
              <w:right w:w="115" w:type="dxa"/>
            </w:tcMar>
            <w:vAlign w:val="center"/>
          </w:tcPr>
          <w:p w14:paraId="4845C6F7" w14:textId="77777777" w:rsidR="0055531E" w:rsidRDefault="0055531E" w:rsidP="00EB1759">
            <w:pPr>
              <w:pBdr>
                <w:top w:val="nil"/>
                <w:left w:val="nil"/>
                <w:bottom w:val="nil"/>
                <w:right w:val="nil"/>
                <w:between w:val="nil"/>
              </w:pBdr>
              <w:ind w:left="-258" w:firstLine="968"/>
              <w:jc w:val="both"/>
              <w:rPr>
                <w:rFonts w:ascii="Times New Roman" w:eastAsia="Times New Roman" w:hAnsi="Times New Roman"/>
                <w:color w:val="000000"/>
                <w:sz w:val="24"/>
                <w:szCs w:val="24"/>
              </w:rPr>
            </w:pPr>
            <w:r>
              <w:rPr>
                <w:noProof/>
                <w:color w:val="000000"/>
              </w:rPr>
              <w:drawing>
                <wp:inline distT="0" distB="0" distL="114300" distR="114300" wp14:anchorId="217CCD21" wp14:editId="43F5A75B">
                  <wp:extent cx="1393190" cy="381000"/>
                  <wp:effectExtent l="0" t="0" r="0" b="0"/>
                  <wp:docPr id="1059" name="image6.png" descr="A black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059" name="image6.png" descr="A black background with white text&#10;&#10;AI-generated content may be incorrect."/>
                          <pic:cNvPicPr preferRelativeResize="0"/>
                        </pic:nvPicPr>
                        <pic:blipFill>
                          <a:blip r:embed="rId17"/>
                          <a:srcRect/>
                          <a:stretch>
                            <a:fillRect/>
                          </a:stretch>
                        </pic:blipFill>
                        <pic:spPr>
                          <a:xfrm>
                            <a:off x="0" y="0"/>
                            <a:ext cx="1393190" cy="381000"/>
                          </a:xfrm>
                          <a:prstGeom prst="rect">
                            <a:avLst/>
                          </a:prstGeom>
                          <a:ln/>
                        </pic:spPr>
                      </pic:pic>
                    </a:graphicData>
                  </a:graphic>
                </wp:inline>
              </w:drawing>
            </w:r>
          </w:p>
          <w:p w14:paraId="37EEC880" w14:textId="77777777" w:rsidR="0055531E" w:rsidRDefault="0055531E" w:rsidP="00EB1759">
            <w:pPr>
              <w:jc w:val="center"/>
              <w:rPr>
                <w:rFonts w:ascii="Times New Roman" w:eastAsia="Times New Roman" w:hAnsi="Times New Roman"/>
                <w:color w:val="000000"/>
                <w:sz w:val="24"/>
                <w:szCs w:val="24"/>
              </w:rPr>
            </w:pPr>
          </w:p>
        </w:tc>
      </w:tr>
      <w:tr w:rsidR="0055531E" w14:paraId="59C8EC01" w14:textId="77777777" w:rsidTr="00F16668">
        <w:trPr>
          <w:trHeight w:val="68"/>
          <w:jc w:val="center"/>
        </w:trPr>
        <w:tc>
          <w:tcPr>
            <w:tcW w:w="1480" w:type="dxa"/>
            <w:tcMar>
              <w:top w:w="0" w:type="dxa"/>
              <w:left w:w="115" w:type="dxa"/>
              <w:bottom w:w="0" w:type="dxa"/>
              <w:right w:w="115" w:type="dxa"/>
            </w:tcMar>
            <w:vAlign w:val="center"/>
          </w:tcPr>
          <w:p w14:paraId="1F4436FE" w14:textId="77777777" w:rsidR="0055531E" w:rsidRDefault="0055531E" w:rsidP="00EB1759">
            <w:pPr>
              <w:jc w:val="both"/>
              <w:rPr>
                <w:rFonts w:ascii="Times New Roman" w:eastAsia="Times New Roman" w:hAnsi="Times New Roman"/>
                <w:sz w:val="24"/>
                <w:szCs w:val="24"/>
              </w:rPr>
            </w:pPr>
          </w:p>
        </w:tc>
        <w:tc>
          <w:tcPr>
            <w:tcW w:w="4101" w:type="dxa"/>
            <w:tcMar>
              <w:top w:w="0" w:type="dxa"/>
              <w:left w:w="115" w:type="dxa"/>
              <w:bottom w:w="0" w:type="dxa"/>
              <w:right w:w="115" w:type="dxa"/>
            </w:tcMar>
            <w:vAlign w:val="center"/>
          </w:tcPr>
          <w:p w14:paraId="16FE6D24" w14:textId="77777777" w:rsidR="0055531E" w:rsidRDefault="0055531E" w:rsidP="00EB1759">
            <w:pPr>
              <w:jc w:val="both"/>
              <w:rPr>
                <w:rFonts w:ascii="Times New Roman" w:eastAsia="Times New Roman" w:hAnsi="Times New Roman"/>
                <w:color w:val="000000"/>
                <w:sz w:val="24"/>
                <w:szCs w:val="24"/>
              </w:rPr>
            </w:pPr>
          </w:p>
        </w:tc>
        <w:tc>
          <w:tcPr>
            <w:tcW w:w="3304" w:type="dxa"/>
            <w:tcMar>
              <w:top w:w="0" w:type="dxa"/>
              <w:left w:w="115" w:type="dxa"/>
              <w:bottom w:w="0" w:type="dxa"/>
              <w:right w:w="115" w:type="dxa"/>
            </w:tcMar>
            <w:vAlign w:val="center"/>
          </w:tcPr>
          <w:p w14:paraId="39ADC0C4" w14:textId="77777777" w:rsidR="0055531E" w:rsidRDefault="0055531E" w:rsidP="00EB1759">
            <w:pPr>
              <w:pBdr>
                <w:top w:val="nil"/>
                <w:left w:val="nil"/>
                <w:bottom w:val="nil"/>
                <w:right w:val="nil"/>
                <w:between w:val="nil"/>
              </w:pBdr>
              <w:ind w:left="-258"/>
              <w:jc w:val="both"/>
              <w:rPr>
                <w:rFonts w:ascii="Times New Roman" w:eastAsia="Times New Roman" w:hAnsi="Times New Roman"/>
                <w:color w:val="000000"/>
                <w:sz w:val="24"/>
                <w:szCs w:val="24"/>
              </w:rPr>
            </w:pPr>
          </w:p>
        </w:tc>
      </w:tr>
      <w:tr w:rsidR="0055531E" w14:paraId="6E471E77" w14:textId="77777777" w:rsidTr="00F16668">
        <w:trPr>
          <w:trHeight w:val="719"/>
          <w:jc w:val="center"/>
        </w:trPr>
        <w:tc>
          <w:tcPr>
            <w:tcW w:w="1480" w:type="dxa"/>
            <w:tcMar>
              <w:top w:w="0" w:type="dxa"/>
              <w:left w:w="115" w:type="dxa"/>
              <w:bottom w:w="0" w:type="dxa"/>
              <w:right w:w="115" w:type="dxa"/>
            </w:tcMar>
            <w:vAlign w:val="center"/>
          </w:tcPr>
          <w:p w14:paraId="0C12C32D"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sz w:val="24"/>
                <w:szCs w:val="24"/>
              </w:rPr>
              <w:t>Return on Assets (ROA)</w:t>
            </w:r>
          </w:p>
        </w:tc>
        <w:tc>
          <w:tcPr>
            <w:tcW w:w="4101" w:type="dxa"/>
            <w:tcMar>
              <w:top w:w="0" w:type="dxa"/>
              <w:left w:w="115" w:type="dxa"/>
              <w:bottom w:w="0" w:type="dxa"/>
              <w:right w:w="115" w:type="dxa"/>
            </w:tcMar>
            <w:vAlign w:val="center"/>
          </w:tcPr>
          <w:p w14:paraId="46D63C89" w14:textId="77777777" w:rsidR="0055531E" w:rsidRDefault="0055531E" w:rsidP="00EB1759">
            <w:pPr>
              <w:rPr>
                <w:rFonts w:ascii="Times New Roman" w:eastAsia="Times New Roman" w:hAnsi="Times New Roman"/>
                <w:color w:val="000000"/>
                <w:sz w:val="24"/>
                <w:szCs w:val="24"/>
              </w:rPr>
            </w:pPr>
            <w:r>
              <w:rPr>
                <w:rFonts w:ascii="Times New Roman" w:eastAsia="Times New Roman" w:hAnsi="Times New Roman"/>
                <w:color w:val="000000"/>
                <w:sz w:val="24"/>
                <w:szCs w:val="24"/>
              </w:rPr>
              <w:t>Return on Asset (ROA) is a ratio used to measure the company's effectiveness in generating profits from its assets.</w:t>
            </w:r>
          </w:p>
        </w:tc>
        <w:tc>
          <w:tcPr>
            <w:tcW w:w="3304" w:type="dxa"/>
            <w:tcMar>
              <w:top w:w="0" w:type="dxa"/>
              <w:left w:w="115" w:type="dxa"/>
              <w:bottom w:w="0" w:type="dxa"/>
              <w:right w:w="115" w:type="dxa"/>
            </w:tcMar>
            <w:vAlign w:val="center"/>
          </w:tcPr>
          <w:p w14:paraId="23DD2D89" w14:textId="77777777" w:rsidR="0055531E" w:rsidRDefault="0055531E" w:rsidP="00EB1759">
            <w:pPr>
              <w:pBdr>
                <w:top w:val="nil"/>
                <w:left w:val="nil"/>
                <w:bottom w:val="nil"/>
                <w:right w:val="nil"/>
                <w:between w:val="nil"/>
              </w:pBdr>
              <w:ind w:left="-255" w:firstLine="965"/>
              <w:jc w:val="both"/>
              <w:rPr>
                <w:rFonts w:ascii="Times New Roman" w:eastAsia="Times New Roman" w:hAnsi="Times New Roman"/>
                <w:color w:val="000000"/>
                <w:sz w:val="24"/>
                <w:szCs w:val="24"/>
              </w:rPr>
            </w:pPr>
            <w:r>
              <w:rPr>
                <w:noProof/>
                <w:color w:val="000000"/>
              </w:rPr>
              <w:drawing>
                <wp:inline distT="0" distB="0" distL="114300" distR="114300" wp14:anchorId="7485FCEB" wp14:editId="4222189D">
                  <wp:extent cx="1382395" cy="348615"/>
                  <wp:effectExtent l="0" t="0" r="0" b="0"/>
                  <wp:docPr id="1060" name="image4.png" descr="A black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060" name="image4.png" descr="A black background with white text&#10;&#10;AI-generated content may be incorrect."/>
                          <pic:cNvPicPr preferRelativeResize="0"/>
                        </pic:nvPicPr>
                        <pic:blipFill>
                          <a:blip r:embed="rId18"/>
                          <a:srcRect/>
                          <a:stretch>
                            <a:fillRect/>
                          </a:stretch>
                        </pic:blipFill>
                        <pic:spPr>
                          <a:xfrm>
                            <a:off x="0" y="0"/>
                            <a:ext cx="1382395" cy="348615"/>
                          </a:xfrm>
                          <a:prstGeom prst="rect">
                            <a:avLst/>
                          </a:prstGeom>
                          <a:ln/>
                        </pic:spPr>
                      </pic:pic>
                    </a:graphicData>
                  </a:graphic>
                </wp:inline>
              </w:drawing>
            </w:r>
          </w:p>
          <w:p w14:paraId="7728AB78" w14:textId="77777777" w:rsidR="0055531E" w:rsidRDefault="0055531E" w:rsidP="00EB1759">
            <w:pPr>
              <w:jc w:val="center"/>
              <w:rPr>
                <w:rFonts w:ascii="Times New Roman" w:eastAsia="Times New Roman" w:hAnsi="Times New Roman"/>
                <w:color w:val="000000"/>
                <w:sz w:val="24"/>
                <w:szCs w:val="24"/>
              </w:rPr>
            </w:pPr>
          </w:p>
        </w:tc>
      </w:tr>
      <w:tr w:rsidR="0055531E" w14:paraId="56B8E637" w14:textId="77777777" w:rsidTr="00F16668">
        <w:trPr>
          <w:trHeight w:val="241"/>
          <w:jc w:val="center"/>
        </w:trPr>
        <w:tc>
          <w:tcPr>
            <w:tcW w:w="1480" w:type="dxa"/>
            <w:tcMar>
              <w:top w:w="0" w:type="dxa"/>
              <w:left w:w="115" w:type="dxa"/>
              <w:bottom w:w="0" w:type="dxa"/>
              <w:right w:w="115" w:type="dxa"/>
            </w:tcMar>
            <w:vAlign w:val="center"/>
          </w:tcPr>
          <w:p w14:paraId="3968AF72" w14:textId="77777777" w:rsidR="0055531E" w:rsidRDefault="0055531E" w:rsidP="00EB1759">
            <w:pPr>
              <w:jc w:val="both"/>
              <w:rPr>
                <w:rFonts w:ascii="Times New Roman" w:eastAsia="Times New Roman" w:hAnsi="Times New Roman"/>
                <w:sz w:val="24"/>
                <w:szCs w:val="24"/>
              </w:rPr>
            </w:pPr>
          </w:p>
        </w:tc>
        <w:tc>
          <w:tcPr>
            <w:tcW w:w="4101" w:type="dxa"/>
            <w:tcMar>
              <w:top w:w="0" w:type="dxa"/>
              <w:left w:w="115" w:type="dxa"/>
              <w:bottom w:w="0" w:type="dxa"/>
              <w:right w:w="115" w:type="dxa"/>
            </w:tcMar>
            <w:vAlign w:val="center"/>
          </w:tcPr>
          <w:p w14:paraId="001F77C4" w14:textId="77777777" w:rsidR="0055531E" w:rsidRDefault="0055531E" w:rsidP="00EB1759">
            <w:pPr>
              <w:jc w:val="center"/>
              <w:rPr>
                <w:rFonts w:ascii="Times New Roman" w:eastAsia="Times New Roman" w:hAnsi="Times New Roman"/>
                <w:color w:val="000000"/>
                <w:sz w:val="24"/>
                <w:szCs w:val="24"/>
              </w:rPr>
            </w:pPr>
          </w:p>
        </w:tc>
        <w:tc>
          <w:tcPr>
            <w:tcW w:w="3304" w:type="dxa"/>
            <w:tcMar>
              <w:top w:w="0" w:type="dxa"/>
              <w:left w:w="115" w:type="dxa"/>
              <w:bottom w:w="0" w:type="dxa"/>
              <w:right w:w="115" w:type="dxa"/>
            </w:tcMar>
            <w:vAlign w:val="center"/>
          </w:tcPr>
          <w:p w14:paraId="52425B64" w14:textId="77777777" w:rsidR="0055531E" w:rsidRDefault="0055531E" w:rsidP="00EB1759">
            <w:pPr>
              <w:jc w:val="center"/>
              <w:rPr>
                <w:rFonts w:ascii="Times New Roman" w:eastAsia="Times New Roman" w:hAnsi="Times New Roman"/>
                <w:color w:val="000000"/>
                <w:sz w:val="24"/>
                <w:szCs w:val="24"/>
              </w:rPr>
            </w:pPr>
          </w:p>
        </w:tc>
      </w:tr>
      <w:tr w:rsidR="0055531E" w14:paraId="6A63A1E6" w14:textId="77777777" w:rsidTr="00F16668">
        <w:trPr>
          <w:trHeight w:val="233"/>
          <w:jc w:val="center"/>
        </w:trPr>
        <w:tc>
          <w:tcPr>
            <w:tcW w:w="1480" w:type="dxa"/>
            <w:tcMar>
              <w:top w:w="0" w:type="dxa"/>
              <w:left w:w="115" w:type="dxa"/>
              <w:bottom w:w="0" w:type="dxa"/>
              <w:right w:w="115" w:type="dxa"/>
            </w:tcMar>
            <w:vAlign w:val="center"/>
          </w:tcPr>
          <w:p w14:paraId="0E64C0DF" w14:textId="77777777" w:rsidR="0055531E" w:rsidRDefault="0055531E" w:rsidP="00EB1759">
            <w:pPr>
              <w:jc w:val="both"/>
              <w:rPr>
                <w:rFonts w:ascii="Times New Roman" w:eastAsia="Times New Roman" w:hAnsi="Times New Roman"/>
                <w:sz w:val="24"/>
                <w:szCs w:val="24"/>
              </w:rPr>
            </w:pPr>
          </w:p>
        </w:tc>
        <w:tc>
          <w:tcPr>
            <w:tcW w:w="4101" w:type="dxa"/>
            <w:tcMar>
              <w:top w:w="0" w:type="dxa"/>
              <w:left w:w="115" w:type="dxa"/>
              <w:bottom w:w="0" w:type="dxa"/>
              <w:right w:w="115" w:type="dxa"/>
            </w:tcMar>
            <w:vAlign w:val="center"/>
          </w:tcPr>
          <w:p w14:paraId="4A47EC46" w14:textId="77777777" w:rsidR="0055531E" w:rsidRDefault="0055531E" w:rsidP="00EB1759">
            <w:pPr>
              <w:jc w:val="center"/>
              <w:rPr>
                <w:rFonts w:ascii="Times New Roman" w:eastAsia="Times New Roman" w:hAnsi="Times New Roman"/>
                <w:color w:val="000000"/>
                <w:sz w:val="24"/>
                <w:szCs w:val="24"/>
              </w:rPr>
            </w:pPr>
          </w:p>
        </w:tc>
        <w:tc>
          <w:tcPr>
            <w:tcW w:w="3304" w:type="dxa"/>
            <w:tcMar>
              <w:top w:w="0" w:type="dxa"/>
              <w:left w:w="115" w:type="dxa"/>
              <w:bottom w:w="0" w:type="dxa"/>
              <w:right w:w="115" w:type="dxa"/>
            </w:tcMar>
            <w:vAlign w:val="center"/>
          </w:tcPr>
          <w:p w14:paraId="44401B49" w14:textId="77777777" w:rsidR="0055531E" w:rsidRDefault="0055531E" w:rsidP="00EB1759">
            <w:pPr>
              <w:jc w:val="center"/>
              <w:rPr>
                <w:rFonts w:ascii="Times New Roman" w:eastAsia="Times New Roman" w:hAnsi="Times New Roman"/>
                <w:color w:val="000000"/>
                <w:sz w:val="24"/>
                <w:szCs w:val="24"/>
              </w:rPr>
            </w:pPr>
          </w:p>
        </w:tc>
      </w:tr>
      <w:tr w:rsidR="0055531E" w14:paraId="56424A82" w14:textId="77777777" w:rsidTr="00F16668">
        <w:trPr>
          <w:trHeight w:val="962"/>
          <w:jc w:val="center"/>
        </w:trPr>
        <w:tc>
          <w:tcPr>
            <w:tcW w:w="1480" w:type="dxa"/>
            <w:tcMar>
              <w:top w:w="0" w:type="dxa"/>
              <w:left w:w="115" w:type="dxa"/>
              <w:bottom w:w="0" w:type="dxa"/>
              <w:right w:w="115" w:type="dxa"/>
            </w:tcMar>
            <w:vAlign w:val="center"/>
          </w:tcPr>
          <w:p w14:paraId="0B46E15B" w14:textId="77777777" w:rsidR="0055531E" w:rsidRDefault="0055531E" w:rsidP="00EB1759">
            <w:pPr>
              <w:rPr>
                <w:rFonts w:ascii="Times New Roman" w:eastAsia="Times New Roman" w:hAnsi="Times New Roman"/>
                <w:sz w:val="24"/>
                <w:szCs w:val="24"/>
              </w:rPr>
            </w:pPr>
            <w:r>
              <w:rPr>
                <w:rFonts w:ascii="Times New Roman" w:eastAsia="Times New Roman" w:hAnsi="Times New Roman"/>
                <w:sz w:val="24"/>
                <w:szCs w:val="24"/>
              </w:rPr>
              <w:t>Current Ratio (CR)</w:t>
            </w:r>
          </w:p>
        </w:tc>
        <w:tc>
          <w:tcPr>
            <w:tcW w:w="4101" w:type="dxa"/>
            <w:tcMar>
              <w:top w:w="0" w:type="dxa"/>
              <w:left w:w="115" w:type="dxa"/>
              <w:bottom w:w="0" w:type="dxa"/>
              <w:right w:w="115" w:type="dxa"/>
            </w:tcMar>
            <w:vAlign w:val="center"/>
          </w:tcPr>
          <w:p w14:paraId="394009A5"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Current Ratio (CR) measures a company's ability to meet short-term obligations, indicating its working capital position and the security for short-term creditors.</w:t>
            </w:r>
          </w:p>
        </w:tc>
        <w:tc>
          <w:tcPr>
            <w:tcW w:w="3304" w:type="dxa"/>
            <w:tcMar>
              <w:top w:w="0" w:type="dxa"/>
              <w:left w:w="115" w:type="dxa"/>
              <w:bottom w:w="0" w:type="dxa"/>
              <w:right w:w="115" w:type="dxa"/>
            </w:tcMar>
            <w:vAlign w:val="center"/>
          </w:tcPr>
          <w:p w14:paraId="68BED183" w14:textId="77777777" w:rsidR="0055531E" w:rsidRDefault="0055531E" w:rsidP="00EB1759">
            <w:pPr>
              <w:pBdr>
                <w:top w:val="nil"/>
                <w:left w:val="nil"/>
                <w:bottom w:val="nil"/>
                <w:right w:val="nil"/>
                <w:between w:val="nil"/>
              </w:pBdr>
              <w:ind w:left="170" w:firstLine="540"/>
              <w:jc w:val="both"/>
              <w:rPr>
                <w:rFonts w:ascii="Times New Roman" w:eastAsia="Times New Roman" w:hAnsi="Times New Roman"/>
                <w:color w:val="000000"/>
                <w:sz w:val="24"/>
                <w:szCs w:val="24"/>
              </w:rPr>
            </w:pPr>
            <w:r>
              <w:rPr>
                <w:noProof/>
                <w:color w:val="000000"/>
              </w:rPr>
              <w:drawing>
                <wp:inline distT="0" distB="0" distL="114300" distR="114300" wp14:anchorId="10D60727" wp14:editId="31171A13">
                  <wp:extent cx="1708150" cy="348615"/>
                  <wp:effectExtent l="0" t="0" r="0" b="0"/>
                  <wp:docPr id="1061" name="image17.png" descr="A black background with colorful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1061" name="image17.png" descr="A black background with colorful letters&#10;&#10;AI-generated content may be incorrect."/>
                          <pic:cNvPicPr preferRelativeResize="0"/>
                        </pic:nvPicPr>
                        <pic:blipFill>
                          <a:blip r:embed="rId19"/>
                          <a:srcRect/>
                          <a:stretch>
                            <a:fillRect/>
                          </a:stretch>
                        </pic:blipFill>
                        <pic:spPr>
                          <a:xfrm>
                            <a:off x="0" y="0"/>
                            <a:ext cx="1708150" cy="348615"/>
                          </a:xfrm>
                          <a:prstGeom prst="rect">
                            <a:avLst/>
                          </a:prstGeom>
                          <a:ln/>
                        </pic:spPr>
                      </pic:pic>
                    </a:graphicData>
                  </a:graphic>
                </wp:inline>
              </w:drawing>
            </w:r>
          </w:p>
          <w:p w14:paraId="7B786EDF" w14:textId="77777777" w:rsidR="0055531E" w:rsidRDefault="0055531E" w:rsidP="00EB1759">
            <w:pPr>
              <w:jc w:val="center"/>
              <w:rPr>
                <w:rFonts w:ascii="Times New Roman" w:eastAsia="Times New Roman" w:hAnsi="Times New Roman"/>
                <w:color w:val="000000"/>
                <w:sz w:val="24"/>
                <w:szCs w:val="24"/>
              </w:rPr>
            </w:pPr>
          </w:p>
        </w:tc>
      </w:tr>
      <w:tr w:rsidR="0055531E" w14:paraId="53A3E4CB" w14:textId="77777777" w:rsidTr="00F16668">
        <w:trPr>
          <w:trHeight w:val="233"/>
          <w:jc w:val="center"/>
        </w:trPr>
        <w:tc>
          <w:tcPr>
            <w:tcW w:w="1480" w:type="dxa"/>
            <w:tcMar>
              <w:top w:w="0" w:type="dxa"/>
              <w:left w:w="115" w:type="dxa"/>
              <w:bottom w:w="0" w:type="dxa"/>
              <w:right w:w="115" w:type="dxa"/>
            </w:tcMar>
            <w:vAlign w:val="center"/>
          </w:tcPr>
          <w:p w14:paraId="483153D6" w14:textId="77777777" w:rsidR="0055531E" w:rsidRDefault="0055531E" w:rsidP="00EB1759">
            <w:pPr>
              <w:jc w:val="both"/>
              <w:rPr>
                <w:rFonts w:ascii="Times New Roman" w:eastAsia="Times New Roman" w:hAnsi="Times New Roman"/>
                <w:sz w:val="24"/>
                <w:szCs w:val="24"/>
              </w:rPr>
            </w:pPr>
          </w:p>
        </w:tc>
        <w:tc>
          <w:tcPr>
            <w:tcW w:w="4101" w:type="dxa"/>
            <w:tcMar>
              <w:top w:w="0" w:type="dxa"/>
              <w:left w:w="115" w:type="dxa"/>
              <w:bottom w:w="0" w:type="dxa"/>
              <w:right w:w="115" w:type="dxa"/>
            </w:tcMar>
            <w:vAlign w:val="center"/>
          </w:tcPr>
          <w:p w14:paraId="276A2730" w14:textId="77777777" w:rsidR="0055531E" w:rsidRDefault="0055531E" w:rsidP="00EB1759">
            <w:pPr>
              <w:rPr>
                <w:rFonts w:ascii="Times New Roman" w:eastAsia="Times New Roman" w:hAnsi="Times New Roman"/>
                <w:color w:val="000000"/>
                <w:sz w:val="24"/>
                <w:szCs w:val="24"/>
              </w:rPr>
            </w:pPr>
          </w:p>
        </w:tc>
        <w:tc>
          <w:tcPr>
            <w:tcW w:w="3304" w:type="dxa"/>
            <w:tcMar>
              <w:top w:w="0" w:type="dxa"/>
              <w:left w:w="115" w:type="dxa"/>
              <w:bottom w:w="0" w:type="dxa"/>
              <w:right w:w="115" w:type="dxa"/>
            </w:tcMar>
            <w:vAlign w:val="center"/>
          </w:tcPr>
          <w:p w14:paraId="2E6E2C3D" w14:textId="77777777" w:rsidR="0055531E" w:rsidRDefault="0055531E" w:rsidP="00EB1759">
            <w:pPr>
              <w:pBdr>
                <w:top w:val="nil"/>
                <w:left w:val="nil"/>
                <w:bottom w:val="nil"/>
                <w:right w:val="nil"/>
                <w:between w:val="nil"/>
              </w:pBdr>
              <w:ind w:left="170" w:hanging="426"/>
              <w:jc w:val="both"/>
              <w:rPr>
                <w:rFonts w:ascii="Times New Roman" w:eastAsia="Times New Roman" w:hAnsi="Times New Roman"/>
                <w:color w:val="000000"/>
                <w:sz w:val="24"/>
                <w:szCs w:val="24"/>
              </w:rPr>
            </w:pPr>
          </w:p>
        </w:tc>
      </w:tr>
      <w:tr w:rsidR="0055531E" w14:paraId="4EFB5345" w14:textId="77777777" w:rsidTr="00F16668">
        <w:trPr>
          <w:trHeight w:val="962"/>
          <w:jc w:val="center"/>
        </w:trPr>
        <w:tc>
          <w:tcPr>
            <w:tcW w:w="1480" w:type="dxa"/>
            <w:tcMar>
              <w:top w:w="0" w:type="dxa"/>
              <w:left w:w="115" w:type="dxa"/>
              <w:bottom w:w="0" w:type="dxa"/>
              <w:right w:w="115" w:type="dxa"/>
            </w:tcMar>
            <w:vAlign w:val="center"/>
          </w:tcPr>
          <w:p w14:paraId="518D2845" w14:textId="77777777" w:rsidR="0055531E" w:rsidRDefault="0055531E" w:rsidP="00EB1759">
            <w:pPr>
              <w:rPr>
                <w:rFonts w:ascii="Times New Roman" w:eastAsia="Times New Roman" w:hAnsi="Times New Roman"/>
                <w:sz w:val="24"/>
                <w:szCs w:val="24"/>
              </w:rPr>
            </w:pPr>
            <w:r>
              <w:rPr>
                <w:rFonts w:ascii="Times New Roman" w:eastAsia="Times New Roman" w:hAnsi="Times New Roman"/>
                <w:sz w:val="24"/>
                <w:szCs w:val="24"/>
              </w:rPr>
              <w:t>Profit Growth (PG)</w:t>
            </w:r>
          </w:p>
        </w:tc>
        <w:tc>
          <w:tcPr>
            <w:tcW w:w="4101" w:type="dxa"/>
            <w:tcMar>
              <w:top w:w="0" w:type="dxa"/>
              <w:left w:w="115" w:type="dxa"/>
              <w:bottom w:w="0" w:type="dxa"/>
              <w:right w:w="115" w:type="dxa"/>
            </w:tcMar>
            <w:vAlign w:val="center"/>
          </w:tcPr>
          <w:p w14:paraId="2F4EC7D1"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Profit Growth (PG) measures the rate of profit growth of a company over time, indicating the sustainability of its revenue growth and financial performance.</w:t>
            </w:r>
          </w:p>
        </w:tc>
        <w:tc>
          <w:tcPr>
            <w:tcW w:w="3304" w:type="dxa"/>
            <w:tcMar>
              <w:top w:w="0" w:type="dxa"/>
              <w:left w:w="115" w:type="dxa"/>
              <w:bottom w:w="0" w:type="dxa"/>
              <w:right w:w="115" w:type="dxa"/>
            </w:tcMar>
            <w:vAlign w:val="center"/>
          </w:tcPr>
          <w:p w14:paraId="7C547437" w14:textId="77777777" w:rsidR="0055531E" w:rsidRDefault="0055531E" w:rsidP="00EB1759">
            <w:pPr>
              <w:ind w:right="-542" w:hanging="424"/>
              <w:jc w:val="center"/>
              <w:rPr>
                <w:rFonts w:ascii="Times New Roman" w:eastAsia="Times New Roman" w:hAnsi="Times New Roman"/>
                <w:color w:val="000000"/>
                <w:sz w:val="24"/>
                <w:szCs w:val="24"/>
              </w:rPr>
            </w:pPr>
            <w:r>
              <w:rPr>
                <w:noProof/>
              </w:rPr>
              <w:drawing>
                <wp:inline distT="0" distB="0" distL="114300" distR="114300" wp14:anchorId="290A8377" wp14:editId="5E5018FA">
                  <wp:extent cx="2428240" cy="369570"/>
                  <wp:effectExtent l="0" t="0" r="0" b="0"/>
                  <wp:docPr id="1062" name="image16.png" descr="A black background with colorful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1062" name="image16.png" descr="A black background with colorful letters&#10;&#10;AI-generated content may be incorrect."/>
                          <pic:cNvPicPr preferRelativeResize="0"/>
                        </pic:nvPicPr>
                        <pic:blipFill>
                          <a:blip r:embed="rId20"/>
                          <a:srcRect/>
                          <a:stretch>
                            <a:fillRect/>
                          </a:stretch>
                        </pic:blipFill>
                        <pic:spPr>
                          <a:xfrm>
                            <a:off x="0" y="0"/>
                            <a:ext cx="2428240" cy="369570"/>
                          </a:xfrm>
                          <a:prstGeom prst="rect">
                            <a:avLst/>
                          </a:prstGeom>
                          <a:ln/>
                        </pic:spPr>
                      </pic:pic>
                    </a:graphicData>
                  </a:graphic>
                </wp:inline>
              </w:drawing>
            </w:r>
          </w:p>
        </w:tc>
      </w:tr>
      <w:tr w:rsidR="0055531E" w14:paraId="5E68F5A3" w14:textId="77777777" w:rsidTr="00F16668">
        <w:trPr>
          <w:trHeight w:val="233"/>
          <w:jc w:val="center"/>
        </w:trPr>
        <w:tc>
          <w:tcPr>
            <w:tcW w:w="1480" w:type="dxa"/>
            <w:tcBorders>
              <w:bottom w:val="nil"/>
            </w:tcBorders>
            <w:tcMar>
              <w:top w:w="0" w:type="dxa"/>
              <w:left w:w="115" w:type="dxa"/>
              <w:bottom w:w="0" w:type="dxa"/>
              <w:right w:w="115" w:type="dxa"/>
            </w:tcMar>
            <w:vAlign w:val="center"/>
          </w:tcPr>
          <w:p w14:paraId="1AB6707C" w14:textId="77777777" w:rsidR="0055531E" w:rsidRDefault="0055531E" w:rsidP="00EB1759">
            <w:pPr>
              <w:jc w:val="both"/>
              <w:rPr>
                <w:rFonts w:ascii="Times New Roman" w:eastAsia="Times New Roman" w:hAnsi="Times New Roman"/>
                <w:sz w:val="24"/>
                <w:szCs w:val="24"/>
              </w:rPr>
            </w:pPr>
          </w:p>
        </w:tc>
        <w:tc>
          <w:tcPr>
            <w:tcW w:w="4101" w:type="dxa"/>
            <w:tcBorders>
              <w:bottom w:val="nil"/>
            </w:tcBorders>
            <w:tcMar>
              <w:top w:w="0" w:type="dxa"/>
              <w:left w:w="115" w:type="dxa"/>
              <w:bottom w:w="0" w:type="dxa"/>
              <w:right w:w="115" w:type="dxa"/>
            </w:tcMar>
            <w:vAlign w:val="center"/>
          </w:tcPr>
          <w:p w14:paraId="64060688" w14:textId="77777777" w:rsidR="0055531E" w:rsidRDefault="0055531E" w:rsidP="00EB1759">
            <w:pPr>
              <w:jc w:val="center"/>
              <w:rPr>
                <w:rFonts w:ascii="Times New Roman" w:eastAsia="Times New Roman" w:hAnsi="Times New Roman"/>
                <w:color w:val="000000"/>
                <w:sz w:val="24"/>
                <w:szCs w:val="24"/>
              </w:rPr>
            </w:pPr>
          </w:p>
        </w:tc>
        <w:tc>
          <w:tcPr>
            <w:tcW w:w="3304" w:type="dxa"/>
            <w:tcBorders>
              <w:bottom w:val="nil"/>
            </w:tcBorders>
            <w:tcMar>
              <w:top w:w="0" w:type="dxa"/>
              <w:left w:w="115" w:type="dxa"/>
              <w:bottom w:w="0" w:type="dxa"/>
              <w:right w:w="115" w:type="dxa"/>
            </w:tcMar>
            <w:vAlign w:val="center"/>
          </w:tcPr>
          <w:p w14:paraId="5635862B" w14:textId="77777777" w:rsidR="0055531E" w:rsidRDefault="0055531E" w:rsidP="00EB1759">
            <w:pPr>
              <w:ind w:left="-964" w:hanging="397"/>
              <w:jc w:val="center"/>
              <w:rPr>
                <w:rFonts w:ascii="Times New Roman" w:eastAsia="Times New Roman" w:hAnsi="Times New Roman"/>
                <w:sz w:val="24"/>
                <w:szCs w:val="24"/>
              </w:rPr>
            </w:pPr>
          </w:p>
        </w:tc>
      </w:tr>
      <w:tr w:rsidR="0055531E" w14:paraId="5021EEAB" w14:textId="77777777" w:rsidTr="00F16668">
        <w:trPr>
          <w:trHeight w:val="484"/>
          <w:jc w:val="center"/>
        </w:trPr>
        <w:tc>
          <w:tcPr>
            <w:tcW w:w="1480" w:type="dxa"/>
            <w:tcBorders>
              <w:top w:val="nil"/>
              <w:bottom w:val="single" w:sz="4" w:space="0" w:color="000000"/>
            </w:tcBorders>
            <w:tcMar>
              <w:top w:w="0" w:type="dxa"/>
              <w:left w:w="115" w:type="dxa"/>
              <w:bottom w:w="0" w:type="dxa"/>
              <w:right w:w="115" w:type="dxa"/>
            </w:tcMar>
            <w:vAlign w:val="center"/>
          </w:tcPr>
          <w:p w14:paraId="7BA45C22"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sz w:val="24"/>
                <w:szCs w:val="24"/>
              </w:rPr>
              <w:t>Firm Size (FS)</w:t>
            </w:r>
          </w:p>
        </w:tc>
        <w:tc>
          <w:tcPr>
            <w:tcW w:w="4101" w:type="dxa"/>
            <w:tcBorders>
              <w:top w:val="nil"/>
              <w:bottom w:val="single" w:sz="4" w:space="0" w:color="000000"/>
            </w:tcBorders>
            <w:tcMar>
              <w:top w:w="0" w:type="dxa"/>
              <w:left w:w="115" w:type="dxa"/>
              <w:bottom w:w="0" w:type="dxa"/>
              <w:right w:w="115" w:type="dxa"/>
            </w:tcMar>
            <w:vAlign w:val="center"/>
          </w:tcPr>
          <w:p w14:paraId="6B6F7019"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Firm Size measures the size of a company based on its total assets.</w:t>
            </w:r>
          </w:p>
        </w:tc>
        <w:tc>
          <w:tcPr>
            <w:tcW w:w="3304" w:type="dxa"/>
            <w:tcBorders>
              <w:top w:val="nil"/>
              <w:bottom w:val="single" w:sz="4" w:space="0" w:color="000000"/>
            </w:tcBorders>
            <w:tcMar>
              <w:top w:w="0" w:type="dxa"/>
              <w:left w:w="115" w:type="dxa"/>
              <w:bottom w:w="0" w:type="dxa"/>
              <w:right w:w="115" w:type="dxa"/>
            </w:tcMar>
            <w:vAlign w:val="center"/>
          </w:tcPr>
          <w:p w14:paraId="2D2C50B7" w14:textId="77777777" w:rsidR="0055531E" w:rsidRDefault="0055531E" w:rsidP="00EB1759">
            <w:pPr>
              <w:pBdr>
                <w:top w:val="nil"/>
                <w:left w:val="nil"/>
                <w:bottom w:val="nil"/>
                <w:right w:val="nil"/>
                <w:between w:val="nil"/>
              </w:pBdr>
              <w:ind w:left="426" w:firstLine="284"/>
              <w:jc w:val="both"/>
              <w:rPr>
                <w:rFonts w:ascii="Times New Roman" w:eastAsia="Times New Roman" w:hAnsi="Times New Roman"/>
                <w:color w:val="000000"/>
                <w:sz w:val="24"/>
                <w:szCs w:val="24"/>
              </w:rPr>
            </w:pPr>
            <w:r>
              <w:rPr>
                <w:noProof/>
                <w:color w:val="000000"/>
              </w:rPr>
              <w:drawing>
                <wp:inline distT="0" distB="0" distL="114300" distR="114300" wp14:anchorId="3821E083" wp14:editId="06AEC627">
                  <wp:extent cx="1555750" cy="173990"/>
                  <wp:effectExtent l="0" t="0" r="0" b="0"/>
                  <wp:docPr id="106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1555750" cy="173990"/>
                          </a:xfrm>
                          <a:prstGeom prst="rect">
                            <a:avLst/>
                          </a:prstGeom>
                          <a:ln/>
                        </pic:spPr>
                      </pic:pic>
                    </a:graphicData>
                  </a:graphic>
                </wp:inline>
              </w:drawing>
            </w:r>
          </w:p>
          <w:p w14:paraId="18214A09" w14:textId="77777777" w:rsidR="0055531E" w:rsidRDefault="0055531E" w:rsidP="00EB1759">
            <w:pPr>
              <w:ind w:left="-964" w:hanging="397"/>
              <w:rPr>
                <w:rFonts w:ascii="Times New Roman" w:eastAsia="Times New Roman" w:hAnsi="Times New Roman"/>
                <w:sz w:val="24"/>
                <w:szCs w:val="24"/>
              </w:rPr>
            </w:pPr>
          </w:p>
        </w:tc>
      </w:tr>
    </w:tbl>
    <w:p w14:paraId="61641C32" w14:textId="4C4B21C7" w:rsidR="0055531E" w:rsidRPr="00F07AC2" w:rsidRDefault="00F16668" w:rsidP="0055531E">
      <w:pPr>
        <w:spacing w:line="360" w:lineRule="auto"/>
        <w:rPr>
          <w:rFonts w:asciiTheme="majorBidi" w:hAnsiTheme="majorBidi" w:cstheme="majorBidi"/>
          <w:sz w:val="20"/>
          <w:szCs w:val="20"/>
        </w:rPr>
      </w:pPr>
      <w:r>
        <w:rPr>
          <w:rFonts w:ascii="Times New Roman" w:eastAsia="Times New Roman" w:hAnsi="Times New Roman"/>
          <w:color w:val="000000"/>
          <w:sz w:val="24"/>
          <w:szCs w:val="24"/>
        </w:rPr>
        <w:t xml:space="preserve">   </w:t>
      </w:r>
      <w:r w:rsidR="0055531E" w:rsidRPr="00F07AC2">
        <w:rPr>
          <w:rFonts w:ascii="Times New Roman" w:eastAsia="Times New Roman" w:hAnsi="Times New Roman"/>
          <w:color w:val="000000"/>
          <w:sz w:val="20"/>
          <w:szCs w:val="20"/>
        </w:rPr>
        <w:t>Source: The data were processed by the author (2024)</w:t>
      </w:r>
    </w:p>
    <w:p w14:paraId="1AF5CF1A" w14:textId="77777777" w:rsidR="0055531E" w:rsidRDefault="0055531E" w:rsidP="0055531E">
      <w:pPr>
        <w:pBdr>
          <w:top w:val="nil"/>
          <w:left w:val="nil"/>
          <w:bottom w:val="nil"/>
          <w:right w:val="nil"/>
          <w:between w:val="nil"/>
        </w:pBdr>
        <w:spacing w:before="72" w:line="360" w:lineRule="auto"/>
        <w:ind w:right="48" w:firstLine="6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research model used in this study is Multiple Linear Regression. According to Ghozali (2018) this analysis is used to test the effect of two or more independent variables on the dependent variable. In this study, multiple linear regression analysis is applied to determine whether the independent variables, namely leverage, profitability, liquidity, earnings growth, </w:t>
      </w:r>
      <w:r>
        <w:rPr>
          <w:rFonts w:ascii="Times New Roman" w:eastAsia="Times New Roman" w:hAnsi="Times New Roman"/>
          <w:color w:val="000000"/>
          <w:sz w:val="24"/>
          <w:szCs w:val="24"/>
        </w:rPr>
        <w:lastRenderedPageBreak/>
        <w:t>and firm size have an influence on the dependent variable, namely dividend policy. The regression equation model used in this study is as follows:</w:t>
      </w:r>
    </w:p>
    <w:p w14:paraId="6316CA1F" w14:textId="77777777" w:rsidR="0055531E" w:rsidRDefault="0055531E" w:rsidP="0055531E">
      <w:pPr>
        <w:spacing w:line="480" w:lineRule="auto"/>
        <w:ind w:left="567" w:hanging="567"/>
        <w:jc w:val="center"/>
        <w:rPr>
          <w:rFonts w:ascii="Times New Roman" w:eastAsia="Times New Roman" w:hAnsi="Times New Roman"/>
          <w:color w:val="000000"/>
          <w:sz w:val="24"/>
          <w:szCs w:val="24"/>
        </w:rPr>
      </w:pPr>
      <w:r>
        <w:rPr>
          <w:noProof/>
        </w:rPr>
        <w:drawing>
          <wp:inline distT="0" distB="0" distL="114300" distR="114300" wp14:anchorId="5B2B016F" wp14:editId="1BE2D45F">
            <wp:extent cx="4908550" cy="196215"/>
            <wp:effectExtent l="0" t="0" r="0" b="0"/>
            <wp:docPr id="106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2"/>
                    <a:srcRect/>
                    <a:stretch>
                      <a:fillRect/>
                    </a:stretch>
                  </pic:blipFill>
                  <pic:spPr>
                    <a:xfrm>
                      <a:off x="0" y="0"/>
                      <a:ext cx="4908550" cy="196215"/>
                    </a:xfrm>
                    <a:prstGeom prst="rect">
                      <a:avLst/>
                    </a:prstGeom>
                    <a:ln/>
                  </pic:spPr>
                </pic:pic>
              </a:graphicData>
            </a:graphic>
          </wp:inline>
        </w:drawing>
      </w:r>
    </w:p>
    <w:p w14:paraId="61C1F7CB" w14:textId="77777777" w:rsidR="0055531E" w:rsidRDefault="0055531E" w:rsidP="0055531E">
      <w:pPr>
        <w:pBdr>
          <w:top w:val="nil"/>
          <w:left w:val="nil"/>
          <w:bottom w:val="nil"/>
          <w:right w:val="nil"/>
          <w:between w:val="nil"/>
        </w:pBdr>
        <w:spacing w:line="360" w:lineRule="auto"/>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RESULTS AND DISCUSSIONS</w:t>
      </w:r>
      <w:r>
        <w:rPr>
          <w:rFonts w:ascii="Times New Roman" w:eastAsia="Times New Roman" w:hAnsi="Times New Roman"/>
          <w:color w:val="000000"/>
          <w:sz w:val="24"/>
          <w:szCs w:val="24"/>
        </w:rPr>
        <w:t xml:space="preserve"> </w:t>
      </w:r>
    </w:p>
    <w:p w14:paraId="694C126A" w14:textId="77777777" w:rsidR="0055531E" w:rsidRDefault="0055531E" w:rsidP="0055531E">
      <w:pPr>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This analysis focuses on the calculation of financial ratios for each company using data obtained from the Indonesia Stock Exchange (IDX) or company financial reports in the banking sector during the period 2019 to 2023. The availability and completeness of financial ratios from banking companies in the last five years (2019-2023) are equalized for each issuer to ensure balance in the data panel. Panel data regression analysis was performed using the Eviews12 statistical application. This study uses two types of variables, namely the dependent variable in the form of Dividend Payout Ratio (DPR) and independent variables consisting of Debt to Equity Ratio (DER), Return on Assets (ROA), Current Ratio (CR), Profit Growth (PG), and Firm Size (FS). These variables will be analyzed to see their effect on dividend policy in the banking sector listed on the IDX during the study period.</w:t>
      </w:r>
    </w:p>
    <w:p w14:paraId="59B2FEC9" w14:textId="77777777" w:rsidR="0055531E" w:rsidRPr="00291FD0" w:rsidRDefault="0055531E" w:rsidP="0055531E">
      <w:pPr>
        <w:jc w:val="center"/>
        <w:rPr>
          <w:rFonts w:ascii="Times New Roman" w:eastAsia="Times New Roman" w:hAnsi="Times New Roman"/>
          <w:b/>
          <w:sz w:val="24"/>
          <w:szCs w:val="24"/>
        </w:rPr>
      </w:pPr>
      <w:r w:rsidRPr="00291FD0">
        <w:rPr>
          <w:rFonts w:ascii="Times New Roman" w:eastAsia="Times New Roman" w:hAnsi="Times New Roman"/>
          <w:b/>
          <w:color w:val="000000"/>
          <w:sz w:val="24"/>
          <w:szCs w:val="24"/>
        </w:rPr>
        <w:t>Table 2. Descriptive Statistics Analysis Results</w:t>
      </w:r>
    </w:p>
    <w:p w14:paraId="42E55CFB" w14:textId="77777777" w:rsidR="0055531E" w:rsidRDefault="0055531E" w:rsidP="0055531E">
      <w:pPr>
        <w:rPr>
          <w:rFonts w:ascii="Times New Roman" w:eastAsia="Times New Roman" w:hAnsi="Times New Roman"/>
          <w:sz w:val="24"/>
          <w:szCs w:val="24"/>
        </w:rPr>
      </w:pPr>
    </w:p>
    <w:tbl>
      <w:tblPr>
        <w:tblW w:w="7655" w:type="dxa"/>
        <w:jc w:val="center"/>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1843"/>
        <w:gridCol w:w="684"/>
        <w:gridCol w:w="1159"/>
        <w:gridCol w:w="1418"/>
        <w:gridCol w:w="1134"/>
        <w:gridCol w:w="1417"/>
      </w:tblGrid>
      <w:tr w:rsidR="0055531E" w14:paraId="483232E6" w14:textId="77777777" w:rsidTr="00EB1759">
        <w:trPr>
          <w:jc w:val="center"/>
        </w:trPr>
        <w:tc>
          <w:tcPr>
            <w:tcW w:w="1843" w:type="dxa"/>
            <w:tcBorders>
              <w:top w:val="single" w:sz="4" w:space="0" w:color="000000"/>
              <w:bottom w:val="single" w:sz="4" w:space="0" w:color="000000"/>
            </w:tcBorders>
            <w:tcMar>
              <w:top w:w="0" w:type="dxa"/>
              <w:left w:w="115" w:type="dxa"/>
              <w:bottom w:w="0" w:type="dxa"/>
              <w:right w:w="115" w:type="dxa"/>
            </w:tcMar>
            <w:vAlign w:val="center"/>
          </w:tcPr>
          <w:p w14:paraId="742CF29B"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b/>
                <w:color w:val="000000"/>
                <w:sz w:val="24"/>
                <w:szCs w:val="24"/>
              </w:rPr>
              <w:t>Characteristics</w:t>
            </w:r>
          </w:p>
        </w:tc>
        <w:tc>
          <w:tcPr>
            <w:tcW w:w="684" w:type="dxa"/>
            <w:tcBorders>
              <w:top w:val="single" w:sz="4" w:space="0" w:color="000000"/>
              <w:bottom w:val="single" w:sz="4" w:space="0" w:color="000000"/>
            </w:tcBorders>
            <w:tcMar>
              <w:top w:w="0" w:type="dxa"/>
              <w:left w:w="115" w:type="dxa"/>
              <w:bottom w:w="0" w:type="dxa"/>
              <w:right w:w="115" w:type="dxa"/>
            </w:tcMar>
            <w:vAlign w:val="center"/>
          </w:tcPr>
          <w:p w14:paraId="7B6413F3"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N</w:t>
            </w:r>
          </w:p>
        </w:tc>
        <w:tc>
          <w:tcPr>
            <w:tcW w:w="1159" w:type="dxa"/>
            <w:tcBorders>
              <w:top w:val="single" w:sz="4" w:space="0" w:color="000000"/>
              <w:bottom w:val="single" w:sz="4" w:space="0" w:color="000000"/>
            </w:tcBorders>
            <w:tcMar>
              <w:top w:w="0" w:type="dxa"/>
              <w:left w:w="115" w:type="dxa"/>
              <w:bottom w:w="0" w:type="dxa"/>
              <w:right w:w="115" w:type="dxa"/>
            </w:tcMar>
            <w:vAlign w:val="center"/>
          </w:tcPr>
          <w:p w14:paraId="495E43FE"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Mean</w:t>
            </w:r>
          </w:p>
        </w:tc>
        <w:tc>
          <w:tcPr>
            <w:tcW w:w="1418" w:type="dxa"/>
            <w:tcBorders>
              <w:top w:val="single" w:sz="4" w:space="0" w:color="000000"/>
              <w:bottom w:val="single" w:sz="4" w:space="0" w:color="000000"/>
            </w:tcBorders>
          </w:tcPr>
          <w:p w14:paraId="406344B6"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Maximum</w:t>
            </w:r>
          </w:p>
        </w:tc>
        <w:tc>
          <w:tcPr>
            <w:tcW w:w="1134" w:type="dxa"/>
            <w:tcBorders>
              <w:top w:val="single" w:sz="4" w:space="0" w:color="000000"/>
              <w:bottom w:val="single" w:sz="4" w:space="0" w:color="000000"/>
            </w:tcBorders>
          </w:tcPr>
          <w:p w14:paraId="3B4FC100"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Minimum</w:t>
            </w:r>
          </w:p>
        </w:tc>
        <w:tc>
          <w:tcPr>
            <w:tcW w:w="1417" w:type="dxa"/>
            <w:tcBorders>
              <w:top w:val="single" w:sz="4" w:space="0" w:color="000000"/>
              <w:bottom w:val="single" w:sz="4" w:space="0" w:color="000000"/>
            </w:tcBorders>
          </w:tcPr>
          <w:p w14:paraId="7DABF064"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Std. Deviation</w:t>
            </w:r>
          </w:p>
        </w:tc>
      </w:tr>
      <w:tr w:rsidR="0055531E" w14:paraId="3A003707" w14:textId="77777777" w:rsidTr="00EB1759">
        <w:trPr>
          <w:jc w:val="center"/>
        </w:trPr>
        <w:tc>
          <w:tcPr>
            <w:tcW w:w="1843" w:type="dxa"/>
            <w:tcBorders>
              <w:top w:val="single" w:sz="4" w:space="0" w:color="000000"/>
            </w:tcBorders>
            <w:tcMar>
              <w:top w:w="0" w:type="dxa"/>
              <w:left w:w="115" w:type="dxa"/>
              <w:bottom w:w="0" w:type="dxa"/>
              <w:right w:w="115" w:type="dxa"/>
            </w:tcMar>
            <w:vAlign w:val="center"/>
          </w:tcPr>
          <w:p w14:paraId="48D78416"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color w:val="000000"/>
                <w:sz w:val="24"/>
                <w:szCs w:val="24"/>
              </w:rPr>
              <w:t>DPR</w:t>
            </w:r>
          </w:p>
        </w:tc>
        <w:tc>
          <w:tcPr>
            <w:tcW w:w="684" w:type="dxa"/>
            <w:tcBorders>
              <w:top w:val="single" w:sz="4" w:space="0" w:color="000000"/>
            </w:tcBorders>
            <w:tcMar>
              <w:top w:w="0" w:type="dxa"/>
              <w:left w:w="115" w:type="dxa"/>
              <w:bottom w:w="0" w:type="dxa"/>
              <w:right w:w="115" w:type="dxa"/>
            </w:tcMar>
            <w:vAlign w:val="center"/>
          </w:tcPr>
          <w:p w14:paraId="0EF3145D"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60</w:t>
            </w:r>
          </w:p>
        </w:tc>
        <w:tc>
          <w:tcPr>
            <w:tcW w:w="1159" w:type="dxa"/>
            <w:tcBorders>
              <w:top w:val="single" w:sz="4" w:space="0" w:color="000000"/>
            </w:tcBorders>
            <w:tcMar>
              <w:top w:w="0" w:type="dxa"/>
              <w:left w:w="115" w:type="dxa"/>
              <w:bottom w:w="0" w:type="dxa"/>
              <w:right w:w="115" w:type="dxa"/>
            </w:tcMar>
            <w:vAlign w:val="center"/>
          </w:tcPr>
          <w:p w14:paraId="1E60FB7E"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0.456572</w:t>
            </w:r>
          </w:p>
        </w:tc>
        <w:tc>
          <w:tcPr>
            <w:tcW w:w="1418" w:type="dxa"/>
            <w:tcBorders>
              <w:top w:val="single" w:sz="4" w:space="0" w:color="000000"/>
            </w:tcBorders>
          </w:tcPr>
          <w:p w14:paraId="099CE419"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1.760105</w:t>
            </w:r>
          </w:p>
        </w:tc>
        <w:tc>
          <w:tcPr>
            <w:tcW w:w="1134" w:type="dxa"/>
            <w:tcBorders>
              <w:top w:val="single" w:sz="4" w:space="0" w:color="000000"/>
            </w:tcBorders>
          </w:tcPr>
          <w:p w14:paraId="62E745F5"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0.074711</w:t>
            </w:r>
          </w:p>
        </w:tc>
        <w:tc>
          <w:tcPr>
            <w:tcW w:w="1417" w:type="dxa"/>
            <w:tcBorders>
              <w:top w:val="single" w:sz="4" w:space="0" w:color="000000"/>
            </w:tcBorders>
          </w:tcPr>
          <w:p w14:paraId="5D73AEA7"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0.274859</w:t>
            </w:r>
          </w:p>
        </w:tc>
      </w:tr>
      <w:tr w:rsidR="0055531E" w14:paraId="76775832" w14:textId="77777777" w:rsidTr="00EB1759">
        <w:trPr>
          <w:jc w:val="center"/>
        </w:trPr>
        <w:tc>
          <w:tcPr>
            <w:tcW w:w="1843" w:type="dxa"/>
            <w:tcMar>
              <w:top w:w="0" w:type="dxa"/>
              <w:left w:w="115" w:type="dxa"/>
              <w:bottom w:w="0" w:type="dxa"/>
              <w:right w:w="115" w:type="dxa"/>
            </w:tcMar>
            <w:vAlign w:val="center"/>
          </w:tcPr>
          <w:p w14:paraId="354BD2C6"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color w:val="000000"/>
                <w:sz w:val="24"/>
                <w:szCs w:val="24"/>
              </w:rPr>
              <w:t>DER</w:t>
            </w:r>
          </w:p>
        </w:tc>
        <w:tc>
          <w:tcPr>
            <w:tcW w:w="684" w:type="dxa"/>
            <w:tcMar>
              <w:top w:w="0" w:type="dxa"/>
              <w:left w:w="115" w:type="dxa"/>
              <w:bottom w:w="0" w:type="dxa"/>
              <w:right w:w="115" w:type="dxa"/>
            </w:tcMar>
            <w:vAlign w:val="center"/>
          </w:tcPr>
          <w:p w14:paraId="38E1B77E"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60</w:t>
            </w:r>
          </w:p>
        </w:tc>
        <w:tc>
          <w:tcPr>
            <w:tcW w:w="1159" w:type="dxa"/>
            <w:tcMar>
              <w:top w:w="0" w:type="dxa"/>
              <w:left w:w="115" w:type="dxa"/>
              <w:bottom w:w="0" w:type="dxa"/>
              <w:right w:w="115" w:type="dxa"/>
            </w:tcMar>
            <w:vAlign w:val="center"/>
          </w:tcPr>
          <w:p w14:paraId="46493424"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5.396279</w:t>
            </w:r>
          </w:p>
        </w:tc>
        <w:tc>
          <w:tcPr>
            <w:tcW w:w="1418" w:type="dxa"/>
          </w:tcPr>
          <w:p w14:paraId="01621AFB"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10.72298</w:t>
            </w:r>
          </w:p>
        </w:tc>
        <w:tc>
          <w:tcPr>
            <w:tcW w:w="1134" w:type="dxa"/>
          </w:tcPr>
          <w:p w14:paraId="2BB1B0C1"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0.311880</w:t>
            </w:r>
          </w:p>
        </w:tc>
        <w:tc>
          <w:tcPr>
            <w:tcW w:w="1417" w:type="dxa"/>
          </w:tcPr>
          <w:p w14:paraId="5AD69DFA"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2.365706</w:t>
            </w:r>
          </w:p>
        </w:tc>
      </w:tr>
      <w:tr w:rsidR="0055531E" w14:paraId="04F2ECF6" w14:textId="77777777" w:rsidTr="00EB1759">
        <w:trPr>
          <w:jc w:val="center"/>
        </w:trPr>
        <w:tc>
          <w:tcPr>
            <w:tcW w:w="1843" w:type="dxa"/>
            <w:tcMar>
              <w:top w:w="0" w:type="dxa"/>
              <w:left w:w="115" w:type="dxa"/>
              <w:bottom w:w="0" w:type="dxa"/>
              <w:right w:w="115" w:type="dxa"/>
            </w:tcMar>
            <w:vAlign w:val="center"/>
          </w:tcPr>
          <w:p w14:paraId="5B7F6C8D"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ROA</w:t>
            </w:r>
          </w:p>
        </w:tc>
        <w:tc>
          <w:tcPr>
            <w:tcW w:w="684" w:type="dxa"/>
            <w:tcMar>
              <w:top w:w="0" w:type="dxa"/>
              <w:left w:w="115" w:type="dxa"/>
              <w:bottom w:w="0" w:type="dxa"/>
              <w:right w:w="115" w:type="dxa"/>
            </w:tcMar>
            <w:vAlign w:val="center"/>
          </w:tcPr>
          <w:p w14:paraId="427436C3"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60</w:t>
            </w:r>
          </w:p>
        </w:tc>
        <w:tc>
          <w:tcPr>
            <w:tcW w:w="1159" w:type="dxa"/>
            <w:tcMar>
              <w:top w:w="0" w:type="dxa"/>
              <w:left w:w="115" w:type="dxa"/>
              <w:bottom w:w="0" w:type="dxa"/>
              <w:right w:w="115" w:type="dxa"/>
            </w:tcMar>
            <w:vAlign w:val="center"/>
          </w:tcPr>
          <w:p w14:paraId="7F65B300"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0.021773</w:t>
            </w:r>
          </w:p>
        </w:tc>
        <w:tc>
          <w:tcPr>
            <w:tcW w:w="1418" w:type="dxa"/>
          </w:tcPr>
          <w:p w14:paraId="7B90F0DF"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0.090986</w:t>
            </w:r>
          </w:p>
        </w:tc>
        <w:tc>
          <w:tcPr>
            <w:tcW w:w="1134" w:type="dxa"/>
          </w:tcPr>
          <w:p w14:paraId="02758E2E"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0.003726</w:t>
            </w:r>
          </w:p>
        </w:tc>
        <w:tc>
          <w:tcPr>
            <w:tcW w:w="1417" w:type="dxa"/>
          </w:tcPr>
          <w:p w14:paraId="72DC353A"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0.017262</w:t>
            </w:r>
          </w:p>
        </w:tc>
      </w:tr>
      <w:tr w:rsidR="0055531E" w14:paraId="410E63B3" w14:textId="77777777" w:rsidTr="00EB1759">
        <w:trPr>
          <w:jc w:val="center"/>
        </w:trPr>
        <w:tc>
          <w:tcPr>
            <w:tcW w:w="1843" w:type="dxa"/>
            <w:tcMar>
              <w:top w:w="0" w:type="dxa"/>
              <w:left w:w="115" w:type="dxa"/>
              <w:bottom w:w="0" w:type="dxa"/>
              <w:right w:w="115" w:type="dxa"/>
            </w:tcMar>
            <w:vAlign w:val="center"/>
          </w:tcPr>
          <w:p w14:paraId="7679395C"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CR</w:t>
            </w:r>
          </w:p>
        </w:tc>
        <w:tc>
          <w:tcPr>
            <w:tcW w:w="684" w:type="dxa"/>
            <w:tcMar>
              <w:top w:w="0" w:type="dxa"/>
              <w:left w:w="115" w:type="dxa"/>
              <w:bottom w:w="0" w:type="dxa"/>
              <w:right w:w="115" w:type="dxa"/>
            </w:tcMar>
            <w:vAlign w:val="center"/>
          </w:tcPr>
          <w:p w14:paraId="239A6DC4"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60</w:t>
            </w:r>
          </w:p>
        </w:tc>
        <w:tc>
          <w:tcPr>
            <w:tcW w:w="1159" w:type="dxa"/>
            <w:tcMar>
              <w:top w:w="0" w:type="dxa"/>
              <w:left w:w="115" w:type="dxa"/>
              <w:bottom w:w="0" w:type="dxa"/>
              <w:right w:w="115" w:type="dxa"/>
            </w:tcMar>
            <w:vAlign w:val="center"/>
          </w:tcPr>
          <w:p w14:paraId="7671CF0B"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1.638095</w:t>
            </w:r>
          </w:p>
        </w:tc>
        <w:tc>
          <w:tcPr>
            <w:tcW w:w="1418" w:type="dxa"/>
          </w:tcPr>
          <w:p w14:paraId="0720C6D8"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8.489765</w:t>
            </w:r>
          </w:p>
        </w:tc>
        <w:tc>
          <w:tcPr>
            <w:tcW w:w="1134" w:type="dxa"/>
          </w:tcPr>
          <w:p w14:paraId="0F790B0A"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0.552027</w:t>
            </w:r>
          </w:p>
        </w:tc>
        <w:tc>
          <w:tcPr>
            <w:tcW w:w="1417" w:type="dxa"/>
          </w:tcPr>
          <w:p w14:paraId="31A9257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1.637739</w:t>
            </w:r>
          </w:p>
        </w:tc>
      </w:tr>
      <w:tr w:rsidR="0055531E" w14:paraId="2CC19459" w14:textId="77777777" w:rsidTr="00EB1759">
        <w:trPr>
          <w:jc w:val="center"/>
        </w:trPr>
        <w:tc>
          <w:tcPr>
            <w:tcW w:w="1843" w:type="dxa"/>
            <w:tcMar>
              <w:top w:w="0" w:type="dxa"/>
              <w:left w:w="115" w:type="dxa"/>
              <w:bottom w:w="0" w:type="dxa"/>
              <w:right w:w="115" w:type="dxa"/>
            </w:tcMar>
            <w:vAlign w:val="center"/>
          </w:tcPr>
          <w:p w14:paraId="6013A956"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PG</w:t>
            </w:r>
          </w:p>
        </w:tc>
        <w:tc>
          <w:tcPr>
            <w:tcW w:w="684" w:type="dxa"/>
            <w:tcMar>
              <w:top w:w="0" w:type="dxa"/>
              <w:left w:w="115" w:type="dxa"/>
              <w:bottom w:w="0" w:type="dxa"/>
              <w:right w:w="115" w:type="dxa"/>
            </w:tcMar>
            <w:vAlign w:val="center"/>
          </w:tcPr>
          <w:p w14:paraId="6D5423E1"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60</w:t>
            </w:r>
          </w:p>
        </w:tc>
        <w:tc>
          <w:tcPr>
            <w:tcW w:w="1159" w:type="dxa"/>
            <w:tcMar>
              <w:top w:w="0" w:type="dxa"/>
              <w:left w:w="115" w:type="dxa"/>
              <w:bottom w:w="0" w:type="dxa"/>
              <w:right w:w="115" w:type="dxa"/>
            </w:tcMar>
            <w:vAlign w:val="center"/>
          </w:tcPr>
          <w:p w14:paraId="4FF14E3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0.303671</w:t>
            </w:r>
          </w:p>
        </w:tc>
        <w:tc>
          <w:tcPr>
            <w:tcW w:w="1418" w:type="dxa"/>
          </w:tcPr>
          <w:p w14:paraId="7751BDE3"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8.525806</w:t>
            </w:r>
          </w:p>
        </w:tc>
        <w:tc>
          <w:tcPr>
            <w:tcW w:w="1134" w:type="dxa"/>
          </w:tcPr>
          <w:p w14:paraId="15EE929F"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-0.785832</w:t>
            </w:r>
          </w:p>
        </w:tc>
        <w:tc>
          <w:tcPr>
            <w:tcW w:w="1417" w:type="dxa"/>
          </w:tcPr>
          <w:p w14:paraId="7C7B99A0"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1.173605</w:t>
            </w:r>
          </w:p>
        </w:tc>
      </w:tr>
      <w:tr w:rsidR="0055531E" w14:paraId="7A4F9D73" w14:textId="77777777" w:rsidTr="00EB1759">
        <w:trPr>
          <w:jc w:val="center"/>
        </w:trPr>
        <w:tc>
          <w:tcPr>
            <w:tcW w:w="1843" w:type="dxa"/>
            <w:tcMar>
              <w:top w:w="0" w:type="dxa"/>
              <w:left w:w="115" w:type="dxa"/>
              <w:bottom w:w="0" w:type="dxa"/>
              <w:right w:w="115" w:type="dxa"/>
            </w:tcMar>
            <w:vAlign w:val="center"/>
          </w:tcPr>
          <w:p w14:paraId="1964F2AD"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color w:val="000000"/>
                <w:sz w:val="24"/>
                <w:szCs w:val="24"/>
              </w:rPr>
              <w:t>Ln(FS)</w:t>
            </w:r>
          </w:p>
        </w:tc>
        <w:tc>
          <w:tcPr>
            <w:tcW w:w="684" w:type="dxa"/>
            <w:tcMar>
              <w:top w:w="0" w:type="dxa"/>
              <w:left w:w="115" w:type="dxa"/>
              <w:bottom w:w="0" w:type="dxa"/>
              <w:right w:w="115" w:type="dxa"/>
            </w:tcMar>
            <w:vAlign w:val="center"/>
          </w:tcPr>
          <w:p w14:paraId="50BE903E"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60</w:t>
            </w:r>
          </w:p>
        </w:tc>
        <w:tc>
          <w:tcPr>
            <w:tcW w:w="1159" w:type="dxa"/>
            <w:tcMar>
              <w:top w:w="0" w:type="dxa"/>
              <w:left w:w="115" w:type="dxa"/>
              <w:bottom w:w="0" w:type="dxa"/>
              <w:right w:w="115" w:type="dxa"/>
            </w:tcMar>
            <w:vAlign w:val="center"/>
          </w:tcPr>
          <w:p w14:paraId="39B0799C"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19.32107</w:t>
            </w:r>
          </w:p>
        </w:tc>
        <w:tc>
          <w:tcPr>
            <w:tcW w:w="1418" w:type="dxa"/>
          </w:tcPr>
          <w:p w14:paraId="42361C68"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21.49994</w:t>
            </w:r>
          </w:p>
        </w:tc>
        <w:tc>
          <w:tcPr>
            <w:tcW w:w="1134" w:type="dxa"/>
          </w:tcPr>
          <w:p w14:paraId="30EC873E"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16.54878</w:t>
            </w:r>
          </w:p>
        </w:tc>
        <w:tc>
          <w:tcPr>
            <w:tcW w:w="1417" w:type="dxa"/>
          </w:tcPr>
          <w:p w14:paraId="7D0D179B"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1.411170</w:t>
            </w:r>
          </w:p>
        </w:tc>
      </w:tr>
    </w:tbl>
    <w:p w14:paraId="5B5846A0" w14:textId="3ADAD08E" w:rsidR="0055531E" w:rsidRPr="00F07AC2" w:rsidRDefault="000D1B72" w:rsidP="000D1B72">
      <w:pPr>
        <w:spacing w:line="360" w:lineRule="auto"/>
        <w:rPr>
          <w:rFonts w:ascii="Times New Roman" w:eastAsia="Times New Roman" w:hAnsi="Times New Roman"/>
          <w:sz w:val="20"/>
          <w:szCs w:val="20"/>
        </w:rPr>
      </w:pPr>
      <w:r>
        <w:rPr>
          <w:rFonts w:ascii="Times New Roman" w:eastAsia="Times New Roman" w:hAnsi="Times New Roman"/>
          <w:color w:val="000000"/>
          <w:sz w:val="24"/>
          <w:szCs w:val="24"/>
        </w:rPr>
        <w:t xml:space="preserve">            </w:t>
      </w:r>
      <w:r w:rsidR="0055531E" w:rsidRPr="00F07AC2">
        <w:rPr>
          <w:rFonts w:ascii="Times New Roman" w:eastAsia="Times New Roman" w:hAnsi="Times New Roman"/>
          <w:color w:val="000000"/>
          <w:sz w:val="20"/>
          <w:szCs w:val="20"/>
        </w:rPr>
        <w:t>Source: The data were processed by the author (2024)</w:t>
      </w:r>
    </w:p>
    <w:p w14:paraId="649A6015" w14:textId="7CC643B0" w:rsidR="0055531E" w:rsidRDefault="0055531E" w:rsidP="00341E3E">
      <w:pPr>
        <w:spacing w:line="360" w:lineRule="auto"/>
        <w:ind w:firstLine="288"/>
        <w:jc w:val="both"/>
        <w:rPr>
          <w:rFonts w:ascii="Times New Roman" w:eastAsia="Times New Roman" w:hAnsi="Times New Roman"/>
          <w:color w:val="000000"/>
          <w:sz w:val="24"/>
          <w:szCs w:val="24"/>
        </w:rPr>
      </w:pPr>
      <w:r>
        <w:tab/>
      </w:r>
      <w:r>
        <w:rPr>
          <w:rFonts w:ascii="Times New Roman" w:eastAsia="Times New Roman" w:hAnsi="Times New Roman"/>
          <w:color w:val="000000"/>
          <w:sz w:val="24"/>
          <w:szCs w:val="24"/>
        </w:rPr>
        <w:t xml:space="preserve">Based on the descriptive statistics in Table 2, the amount of data obtained from 12 banking companies for five years is 60 observations. The average value of Dividend Payout Ratio (DPR) is 0.456572, with a minimum value of 0.074711 and a maximum of 1.760105, and a standard deviation of 0.274859. A high DPR value indicates that the company distributes most of its profits as dividends, while a low value indicates that the company prefers to retain profits. For Debt to Equity Ratio (DER), the average is 5.396279, with a minimum value of 0.311880 and a maximum of 10.72298, and a standard deviation of 2.365706. A high DER indicates the company is more dependent on debt financing than its equity, while a low DER indicates the company relies more on its own funds. Return on Assets (ROA) has an average value of 0.021773, with a minimum value of 0.003726 and a maximum of 0.090986, and a standard deviation of 0.017262. A high ROA value indicates that the company is more effective </w:t>
      </w:r>
      <w:r>
        <w:rPr>
          <w:rFonts w:ascii="Times New Roman" w:eastAsia="Times New Roman" w:hAnsi="Times New Roman"/>
          <w:color w:val="000000"/>
          <w:sz w:val="24"/>
          <w:szCs w:val="24"/>
        </w:rPr>
        <w:lastRenderedPageBreak/>
        <w:t>in generating profits from its assets, while a low value indicates less than optimal efficiency.</w:t>
      </w:r>
    </w:p>
    <w:p w14:paraId="1164FE6B" w14:textId="77777777" w:rsidR="0055531E" w:rsidRDefault="0055531E" w:rsidP="0055531E">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Current Ratio (CR) has an average of 1.638095, with a minimum value of 0.552027 and a maximum of 8.489765, and a standard deviation of 1.637739. A high CR indicates the company's good ability to meet short-term obligations, while a low value indicates the company may face difficulties in paying these obligations. Profit Growth (PG) has an average of 0.303671, with a minimum value of -0.785832, a maximum of 8.525806, and a standard deviation of 1.173605. A high PG indicates the company has significant profit growth, while a negative or low value indicates a decrease in profit or very limited growth. Finally, the Firm Size variable expressed in natural logarithm form (Ln(FS)) has an average of 19.32107, with a minimum value of 16.54878 and a maximum of 21.49994, and a standard deviation of 1.411170. Larger firm sizes (higher values) usually indicate better financial stability, while smaller firm sizes (lower values) tend to have more limited resources. The results of this analysis will be used as the basis for selecting the panel data regression model, which is presented in the next sub-chapter.</w:t>
      </w:r>
    </w:p>
    <w:p w14:paraId="6A80FADA" w14:textId="77777777" w:rsidR="0055531E" w:rsidRPr="00291FD0" w:rsidRDefault="0055531E" w:rsidP="0055531E">
      <w:pPr>
        <w:widowControl/>
        <w:numPr>
          <w:ilvl w:val="0"/>
          <w:numId w:val="6"/>
        </w:numPr>
        <w:pBdr>
          <w:top w:val="nil"/>
          <w:left w:val="nil"/>
          <w:bottom w:val="nil"/>
          <w:right w:val="nil"/>
          <w:between w:val="nil"/>
        </w:pBdr>
        <w:spacing w:line="360" w:lineRule="auto"/>
        <w:ind w:left="284" w:hanging="142"/>
        <w:jc w:val="both"/>
        <w:rPr>
          <w:rFonts w:ascii="Times New Roman" w:eastAsia="Times New Roman" w:hAnsi="Times New Roman"/>
          <w:b/>
          <w:color w:val="000000"/>
          <w:sz w:val="24"/>
          <w:szCs w:val="24"/>
        </w:rPr>
      </w:pPr>
      <w:r w:rsidRPr="00291FD0">
        <w:rPr>
          <w:rFonts w:ascii="Times New Roman" w:eastAsia="Times New Roman" w:hAnsi="Times New Roman"/>
          <w:b/>
          <w:color w:val="000000"/>
          <w:sz w:val="24"/>
          <w:szCs w:val="24"/>
        </w:rPr>
        <w:t>Model Selection of Panel Data Regression</w:t>
      </w:r>
    </w:p>
    <w:p w14:paraId="71246EEF" w14:textId="77777777" w:rsidR="0055531E" w:rsidRDefault="0055531E" w:rsidP="0055531E">
      <w:pPr>
        <w:widowControl/>
        <w:pBdr>
          <w:top w:val="nil"/>
          <w:left w:val="nil"/>
          <w:bottom w:val="nil"/>
          <w:right w:val="nil"/>
          <w:between w:val="nil"/>
        </w:pBdr>
        <w:spacing w:line="360" w:lineRule="auto"/>
        <w:ind w:left="284" w:firstLine="43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To determine the most suitable model for panel data regression, three tests were conducted: the Chow test, Hausman test, and Lagrange Multiplier (LM) test. The results of these tests are summarized in the table below:</w:t>
      </w:r>
    </w:p>
    <w:p w14:paraId="1DC0BCB0" w14:textId="77777777" w:rsidR="0055531E" w:rsidRPr="00291FD0" w:rsidRDefault="0055531E" w:rsidP="0055531E">
      <w:pPr>
        <w:spacing w:line="360" w:lineRule="auto"/>
        <w:jc w:val="center"/>
        <w:rPr>
          <w:rFonts w:ascii="Times New Roman" w:eastAsia="Times New Roman" w:hAnsi="Times New Roman"/>
          <w:b/>
          <w:color w:val="000000"/>
          <w:sz w:val="24"/>
          <w:szCs w:val="24"/>
        </w:rPr>
      </w:pPr>
      <w:r w:rsidRPr="00291FD0">
        <w:rPr>
          <w:rFonts w:ascii="Times New Roman" w:eastAsia="Times New Roman" w:hAnsi="Times New Roman"/>
          <w:b/>
          <w:color w:val="000000"/>
          <w:sz w:val="24"/>
          <w:szCs w:val="24"/>
        </w:rPr>
        <w:t>Table 3. Result of Model Selection Tests for Panel Data Regression</w:t>
      </w:r>
    </w:p>
    <w:tbl>
      <w:tblPr>
        <w:tblW w:w="8363" w:type="dxa"/>
        <w:jc w:val="center"/>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1417"/>
        <w:gridCol w:w="2127"/>
        <w:gridCol w:w="1560"/>
        <w:gridCol w:w="141"/>
        <w:gridCol w:w="1135"/>
        <w:gridCol w:w="1983"/>
      </w:tblGrid>
      <w:tr w:rsidR="0055531E" w14:paraId="1F35D599" w14:textId="77777777" w:rsidTr="00EB1759">
        <w:trPr>
          <w:tblHeader/>
          <w:jc w:val="center"/>
        </w:trPr>
        <w:tc>
          <w:tcPr>
            <w:tcW w:w="1417" w:type="dxa"/>
            <w:tcBorders>
              <w:top w:val="single" w:sz="4" w:space="0" w:color="000000"/>
              <w:bottom w:val="single" w:sz="4" w:space="0" w:color="000000"/>
            </w:tcBorders>
            <w:tcMar>
              <w:top w:w="0" w:type="dxa"/>
              <w:left w:w="115" w:type="dxa"/>
              <w:bottom w:w="0" w:type="dxa"/>
              <w:right w:w="115" w:type="dxa"/>
            </w:tcMar>
            <w:vAlign w:val="center"/>
          </w:tcPr>
          <w:p w14:paraId="06137B24"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b/>
                <w:color w:val="000000"/>
                <w:sz w:val="24"/>
                <w:szCs w:val="24"/>
              </w:rPr>
              <w:t>Test</w:t>
            </w:r>
          </w:p>
        </w:tc>
        <w:tc>
          <w:tcPr>
            <w:tcW w:w="2127" w:type="dxa"/>
            <w:tcBorders>
              <w:top w:val="single" w:sz="4" w:space="0" w:color="000000"/>
              <w:bottom w:val="single" w:sz="4" w:space="0" w:color="000000"/>
            </w:tcBorders>
            <w:tcMar>
              <w:top w:w="0" w:type="dxa"/>
              <w:left w:w="115" w:type="dxa"/>
              <w:bottom w:w="0" w:type="dxa"/>
              <w:right w:w="115" w:type="dxa"/>
            </w:tcMar>
            <w:vAlign w:val="center"/>
          </w:tcPr>
          <w:p w14:paraId="3467C755"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Statistic</w:t>
            </w:r>
          </w:p>
        </w:tc>
        <w:tc>
          <w:tcPr>
            <w:tcW w:w="1560" w:type="dxa"/>
            <w:tcBorders>
              <w:top w:val="single" w:sz="4" w:space="0" w:color="000000"/>
              <w:bottom w:val="single" w:sz="4" w:space="0" w:color="000000"/>
            </w:tcBorders>
            <w:tcMar>
              <w:top w:w="0" w:type="dxa"/>
              <w:left w:w="115" w:type="dxa"/>
              <w:bottom w:w="0" w:type="dxa"/>
              <w:right w:w="115" w:type="dxa"/>
            </w:tcMar>
            <w:vAlign w:val="center"/>
          </w:tcPr>
          <w:p w14:paraId="0C56C4A6"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d.f.</w:t>
            </w:r>
          </w:p>
        </w:tc>
        <w:tc>
          <w:tcPr>
            <w:tcW w:w="1276" w:type="dxa"/>
            <w:gridSpan w:val="2"/>
            <w:tcBorders>
              <w:top w:val="single" w:sz="4" w:space="0" w:color="000000"/>
              <w:bottom w:val="single" w:sz="4" w:space="0" w:color="000000"/>
            </w:tcBorders>
          </w:tcPr>
          <w:p w14:paraId="77C2D3B1"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Prob.</w:t>
            </w:r>
          </w:p>
        </w:tc>
        <w:tc>
          <w:tcPr>
            <w:tcW w:w="1983" w:type="dxa"/>
            <w:tcBorders>
              <w:top w:val="single" w:sz="4" w:space="0" w:color="000000"/>
              <w:bottom w:val="single" w:sz="4" w:space="0" w:color="000000"/>
            </w:tcBorders>
          </w:tcPr>
          <w:p w14:paraId="084020C5"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Conclusion</w:t>
            </w:r>
          </w:p>
        </w:tc>
      </w:tr>
      <w:tr w:rsidR="0055531E" w14:paraId="52FD5D4F" w14:textId="77777777" w:rsidTr="00EB1759">
        <w:trPr>
          <w:jc w:val="center"/>
        </w:trPr>
        <w:tc>
          <w:tcPr>
            <w:tcW w:w="1417" w:type="dxa"/>
            <w:tcBorders>
              <w:top w:val="single" w:sz="4" w:space="0" w:color="000000"/>
            </w:tcBorders>
            <w:tcMar>
              <w:top w:w="0" w:type="dxa"/>
              <w:left w:w="115" w:type="dxa"/>
              <w:bottom w:w="0" w:type="dxa"/>
              <w:right w:w="115" w:type="dxa"/>
            </w:tcMar>
            <w:vAlign w:val="center"/>
          </w:tcPr>
          <w:p w14:paraId="6F50129D"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color w:val="000000"/>
                <w:sz w:val="24"/>
                <w:szCs w:val="24"/>
              </w:rPr>
              <w:t>Chow Test</w:t>
            </w:r>
          </w:p>
        </w:tc>
        <w:tc>
          <w:tcPr>
            <w:tcW w:w="2127" w:type="dxa"/>
            <w:tcBorders>
              <w:top w:val="single" w:sz="4" w:space="0" w:color="000000"/>
            </w:tcBorders>
            <w:tcMar>
              <w:top w:w="0" w:type="dxa"/>
              <w:left w:w="115" w:type="dxa"/>
              <w:bottom w:w="0" w:type="dxa"/>
              <w:right w:w="115" w:type="dxa"/>
            </w:tcMar>
            <w:vAlign w:val="center"/>
          </w:tcPr>
          <w:p w14:paraId="6DE70E8A" w14:textId="77777777" w:rsidR="0055531E" w:rsidRDefault="0055531E" w:rsidP="00EB1759">
            <w:pPr>
              <w:rPr>
                <w:rFonts w:ascii="Times New Roman" w:eastAsia="Times New Roman" w:hAnsi="Times New Roman"/>
                <w:sz w:val="24"/>
                <w:szCs w:val="24"/>
              </w:rPr>
            </w:pPr>
            <w:r>
              <w:rPr>
                <w:rFonts w:ascii="Times New Roman" w:eastAsia="Times New Roman" w:hAnsi="Times New Roman"/>
                <w:color w:val="000000"/>
                <w:sz w:val="24"/>
                <w:szCs w:val="24"/>
              </w:rPr>
              <w:t>Cross-section F</w:t>
            </w:r>
          </w:p>
        </w:tc>
        <w:tc>
          <w:tcPr>
            <w:tcW w:w="1560" w:type="dxa"/>
            <w:tcBorders>
              <w:top w:val="single" w:sz="4" w:space="0" w:color="000000"/>
            </w:tcBorders>
            <w:tcMar>
              <w:top w:w="0" w:type="dxa"/>
              <w:left w:w="115" w:type="dxa"/>
              <w:bottom w:w="0" w:type="dxa"/>
              <w:right w:w="115" w:type="dxa"/>
            </w:tcMar>
            <w:vAlign w:val="center"/>
          </w:tcPr>
          <w:p w14:paraId="5425A790"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(11.43)</w:t>
            </w:r>
          </w:p>
        </w:tc>
        <w:tc>
          <w:tcPr>
            <w:tcW w:w="1276" w:type="dxa"/>
            <w:gridSpan w:val="2"/>
            <w:tcBorders>
              <w:top w:val="single" w:sz="4" w:space="0" w:color="000000"/>
            </w:tcBorders>
          </w:tcPr>
          <w:p w14:paraId="439A1AA6"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0.2565</w:t>
            </w:r>
          </w:p>
        </w:tc>
        <w:tc>
          <w:tcPr>
            <w:tcW w:w="1983" w:type="dxa"/>
            <w:tcBorders>
              <w:top w:val="single" w:sz="4" w:space="0" w:color="000000"/>
            </w:tcBorders>
          </w:tcPr>
          <w:p w14:paraId="09FD3C4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CEM</w:t>
            </w:r>
          </w:p>
        </w:tc>
      </w:tr>
      <w:tr w:rsidR="0055531E" w14:paraId="55FE71E8" w14:textId="77777777" w:rsidTr="00EB1759">
        <w:trPr>
          <w:jc w:val="center"/>
        </w:trPr>
        <w:tc>
          <w:tcPr>
            <w:tcW w:w="1417" w:type="dxa"/>
            <w:tcBorders>
              <w:bottom w:val="nil"/>
            </w:tcBorders>
            <w:tcMar>
              <w:top w:w="0" w:type="dxa"/>
              <w:left w:w="115" w:type="dxa"/>
              <w:bottom w:w="0" w:type="dxa"/>
              <w:right w:w="115" w:type="dxa"/>
            </w:tcMar>
            <w:vAlign w:val="center"/>
          </w:tcPr>
          <w:p w14:paraId="5CF1756A" w14:textId="77777777" w:rsidR="0055531E" w:rsidRDefault="0055531E" w:rsidP="00EB1759">
            <w:pPr>
              <w:jc w:val="both"/>
              <w:rPr>
                <w:rFonts w:ascii="Times New Roman" w:eastAsia="Times New Roman" w:hAnsi="Times New Roman"/>
                <w:sz w:val="24"/>
                <w:szCs w:val="24"/>
              </w:rPr>
            </w:pPr>
          </w:p>
        </w:tc>
        <w:tc>
          <w:tcPr>
            <w:tcW w:w="2127" w:type="dxa"/>
            <w:tcBorders>
              <w:bottom w:val="nil"/>
            </w:tcBorders>
            <w:tcMar>
              <w:top w:w="0" w:type="dxa"/>
              <w:left w:w="115" w:type="dxa"/>
              <w:bottom w:w="0" w:type="dxa"/>
              <w:right w:w="115" w:type="dxa"/>
            </w:tcMar>
            <w:vAlign w:val="center"/>
          </w:tcPr>
          <w:p w14:paraId="36325BEB" w14:textId="77777777" w:rsidR="0055531E" w:rsidRDefault="0055531E" w:rsidP="00EB1759">
            <w:pPr>
              <w:rPr>
                <w:rFonts w:ascii="Times New Roman" w:eastAsia="Times New Roman" w:hAnsi="Times New Roman"/>
                <w:sz w:val="24"/>
                <w:szCs w:val="24"/>
              </w:rPr>
            </w:pPr>
            <w:r>
              <w:rPr>
                <w:rFonts w:ascii="Times New Roman" w:eastAsia="Times New Roman" w:hAnsi="Times New Roman"/>
                <w:color w:val="000000"/>
                <w:sz w:val="24"/>
                <w:szCs w:val="24"/>
              </w:rPr>
              <w:t>Cross-section Chi-square</w:t>
            </w:r>
          </w:p>
        </w:tc>
        <w:tc>
          <w:tcPr>
            <w:tcW w:w="1560" w:type="dxa"/>
            <w:tcBorders>
              <w:bottom w:val="nil"/>
            </w:tcBorders>
            <w:tcMar>
              <w:top w:w="0" w:type="dxa"/>
              <w:left w:w="115" w:type="dxa"/>
              <w:bottom w:w="0" w:type="dxa"/>
              <w:right w:w="115" w:type="dxa"/>
            </w:tcMar>
            <w:vAlign w:val="center"/>
          </w:tcPr>
          <w:p w14:paraId="44FD1C3D"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color w:val="000000"/>
                <w:sz w:val="24"/>
                <w:szCs w:val="24"/>
              </w:rPr>
              <w:t>11</w:t>
            </w:r>
          </w:p>
        </w:tc>
        <w:tc>
          <w:tcPr>
            <w:tcW w:w="1276" w:type="dxa"/>
            <w:gridSpan w:val="2"/>
            <w:tcBorders>
              <w:bottom w:val="nil"/>
            </w:tcBorders>
          </w:tcPr>
          <w:p w14:paraId="3D313025"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0.1009</w:t>
            </w:r>
          </w:p>
        </w:tc>
        <w:tc>
          <w:tcPr>
            <w:tcW w:w="1983" w:type="dxa"/>
            <w:tcBorders>
              <w:bottom w:val="nil"/>
            </w:tcBorders>
          </w:tcPr>
          <w:p w14:paraId="2310C91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(Ho cannot be rejected)</w:t>
            </w:r>
          </w:p>
        </w:tc>
      </w:tr>
      <w:tr w:rsidR="0055531E" w14:paraId="0A7755AA" w14:textId="77777777" w:rsidTr="00EB1759">
        <w:trPr>
          <w:jc w:val="center"/>
        </w:trPr>
        <w:tc>
          <w:tcPr>
            <w:tcW w:w="1417" w:type="dxa"/>
            <w:tcBorders>
              <w:top w:val="single" w:sz="4" w:space="0" w:color="000000"/>
              <w:bottom w:val="nil"/>
            </w:tcBorders>
            <w:tcMar>
              <w:top w:w="0" w:type="dxa"/>
              <w:left w:w="115" w:type="dxa"/>
              <w:bottom w:w="0" w:type="dxa"/>
              <w:right w:w="115" w:type="dxa"/>
            </w:tcMar>
            <w:vAlign w:val="center"/>
          </w:tcPr>
          <w:p w14:paraId="1D64BE3B"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Hausman Test</w:t>
            </w:r>
          </w:p>
        </w:tc>
        <w:tc>
          <w:tcPr>
            <w:tcW w:w="2127" w:type="dxa"/>
            <w:tcBorders>
              <w:top w:val="single" w:sz="4" w:space="0" w:color="000000"/>
              <w:bottom w:val="nil"/>
            </w:tcBorders>
            <w:tcMar>
              <w:top w:w="0" w:type="dxa"/>
              <w:left w:w="115" w:type="dxa"/>
              <w:bottom w:w="0" w:type="dxa"/>
              <w:right w:w="115" w:type="dxa"/>
            </w:tcMar>
            <w:vAlign w:val="center"/>
          </w:tcPr>
          <w:p w14:paraId="3CE294F5" w14:textId="77777777" w:rsidR="0055531E" w:rsidRDefault="0055531E" w:rsidP="00EB1759">
            <w:pPr>
              <w:rPr>
                <w:rFonts w:ascii="Times New Roman" w:eastAsia="Times New Roman" w:hAnsi="Times New Roman"/>
                <w:color w:val="000000"/>
                <w:sz w:val="24"/>
                <w:szCs w:val="24"/>
              </w:rPr>
            </w:pPr>
            <w:r>
              <w:rPr>
                <w:rFonts w:ascii="Times New Roman" w:eastAsia="Times New Roman" w:hAnsi="Times New Roman"/>
                <w:color w:val="000000"/>
                <w:sz w:val="24"/>
                <w:szCs w:val="24"/>
              </w:rPr>
              <w:t>Cross-section Random</w:t>
            </w:r>
          </w:p>
        </w:tc>
        <w:tc>
          <w:tcPr>
            <w:tcW w:w="1560" w:type="dxa"/>
            <w:tcBorders>
              <w:top w:val="single" w:sz="4" w:space="0" w:color="000000"/>
              <w:bottom w:val="nil"/>
            </w:tcBorders>
            <w:tcMar>
              <w:top w:w="0" w:type="dxa"/>
              <w:left w:w="115" w:type="dxa"/>
              <w:bottom w:w="0" w:type="dxa"/>
              <w:right w:w="115" w:type="dxa"/>
            </w:tcMar>
            <w:vAlign w:val="center"/>
          </w:tcPr>
          <w:p w14:paraId="5B794555"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1276" w:type="dxa"/>
            <w:gridSpan w:val="2"/>
            <w:tcBorders>
              <w:top w:val="single" w:sz="4" w:space="0" w:color="000000"/>
              <w:bottom w:val="nil"/>
            </w:tcBorders>
          </w:tcPr>
          <w:p w14:paraId="5665AEE9"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0.3537</w:t>
            </w:r>
          </w:p>
        </w:tc>
        <w:tc>
          <w:tcPr>
            <w:tcW w:w="1983" w:type="dxa"/>
            <w:tcBorders>
              <w:top w:val="single" w:sz="4" w:space="0" w:color="000000"/>
              <w:bottom w:val="nil"/>
            </w:tcBorders>
          </w:tcPr>
          <w:p w14:paraId="15F4031A"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REM</w:t>
            </w:r>
          </w:p>
          <w:p w14:paraId="4D27C9D9"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(Ho cannot be rejected)</w:t>
            </w:r>
          </w:p>
        </w:tc>
      </w:tr>
      <w:tr w:rsidR="0055531E" w14:paraId="1B0A1DE6" w14:textId="77777777" w:rsidTr="00EB1759">
        <w:trPr>
          <w:cantSplit/>
          <w:jc w:val="center"/>
        </w:trPr>
        <w:tc>
          <w:tcPr>
            <w:tcW w:w="1417" w:type="dxa"/>
            <w:tcBorders>
              <w:top w:val="single" w:sz="4" w:space="0" w:color="000000"/>
              <w:bottom w:val="nil"/>
            </w:tcBorders>
            <w:tcMar>
              <w:top w:w="0" w:type="dxa"/>
              <w:left w:w="115" w:type="dxa"/>
              <w:bottom w:w="0" w:type="dxa"/>
              <w:right w:w="115" w:type="dxa"/>
            </w:tcMar>
            <w:vAlign w:val="center"/>
          </w:tcPr>
          <w:p w14:paraId="1F1E0758"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Lagrange Multiplier</w:t>
            </w:r>
          </w:p>
        </w:tc>
        <w:tc>
          <w:tcPr>
            <w:tcW w:w="2127" w:type="dxa"/>
            <w:vMerge w:val="restart"/>
            <w:tcBorders>
              <w:top w:val="single" w:sz="4" w:space="0" w:color="000000"/>
            </w:tcBorders>
            <w:tcMar>
              <w:top w:w="0" w:type="dxa"/>
              <w:left w:w="115" w:type="dxa"/>
              <w:bottom w:w="0" w:type="dxa"/>
              <w:right w:w="115" w:type="dxa"/>
            </w:tcMar>
            <w:vAlign w:val="center"/>
          </w:tcPr>
          <w:p w14:paraId="5E0C715D" w14:textId="77777777" w:rsidR="0055531E" w:rsidRDefault="0055531E" w:rsidP="00EB1759">
            <w:pPr>
              <w:rPr>
                <w:rFonts w:ascii="Times New Roman" w:eastAsia="Times New Roman" w:hAnsi="Times New Roman"/>
                <w:color w:val="000000"/>
                <w:sz w:val="24"/>
                <w:szCs w:val="24"/>
              </w:rPr>
            </w:pPr>
            <w:r>
              <w:rPr>
                <w:rFonts w:ascii="Times New Roman" w:eastAsia="Times New Roman" w:hAnsi="Times New Roman"/>
                <w:color w:val="000000"/>
                <w:sz w:val="24"/>
                <w:szCs w:val="24"/>
              </w:rPr>
              <w:t>Breusch-Pagan</w:t>
            </w:r>
          </w:p>
        </w:tc>
        <w:tc>
          <w:tcPr>
            <w:tcW w:w="1701" w:type="dxa"/>
            <w:gridSpan w:val="2"/>
            <w:tcBorders>
              <w:top w:val="single" w:sz="4" w:space="0" w:color="000000"/>
              <w:bottom w:val="nil"/>
            </w:tcBorders>
            <w:tcMar>
              <w:top w:w="0" w:type="dxa"/>
              <w:left w:w="115" w:type="dxa"/>
              <w:bottom w:w="0" w:type="dxa"/>
              <w:right w:w="115" w:type="dxa"/>
            </w:tcMar>
            <w:vAlign w:val="center"/>
          </w:tcPr>
          <w:p w14:paraId="1E65F80B" w14:textId="77777777" w:rsidR="0055531E" w:rsidRDefault="0055531E" w:rsidP="00EB1759">
            <w:pPr>
              <w:rPr>
                <w:rFonts w:ascii="Times New Roman" w:eastAsia="Times New Roman" w:hAnsi="Times New Roman"/>
                <w:color w:val="000000"/>
                <w:sz w:val="24"/>
                <w:szCs w:val="24"/>
              </w:rPr>
            </w:pPr>
            <w:r>
              <w:rPr>
                <w:rFonts w:ascii="Times New Roman" w:eastAsia="Times New Roman" w:hAnsi="Times New Roman"/>
                <w:color w:val="000000"/>
                <w:sz w:val="24"/>
                <w:szCs w:val="24"/>
              </w:rPr>
              <w:t>Cross-Section</w:t>
            </w:r>
          </w:p>
        </w:tc>
        <w:tc>
          <w:tcPr>
            <w:tcW w:w="1135" w:type="dxa"/>
            <w:tcBorders>
              <w:top w:val="single" w:sz="4" w:space="0" w:color="000000"/>
              <w:bottom w:val="nil"/>
            </w:tcBorders>
          </w:tcPr>
          <w:p w14:paraId="48E9901E"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(0,9487)</w:t>
            </w:r>
          </w:p>
        </w:tc>
        <w:tc>
          <w:tcPr>
            <w:tcW w:w="1983" w:type="dxa"/>
            <w:vMerge w:val="restart"/>
            <w:tcBorders>
              <w:top w:val="single" w:sz="4" w:space="0" w:color="000000"/>
            </w:tcBorders>
          </w:tcPr>
          <w:p w14:paraId="434AABBC"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CEM</w:t>
            </w:r>
          </w:p>
          <w:p w14:paraId="22AB2729"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(Ho cannot be rejected)</w:t>
            </w:r>
          </w:p>
        </w:tc>
      </w:tr>
      <w:tr w:rsidR="0055531E" w14:paraId="1CE95326" w14:textId="77777777" w:rsidTr="00EB1759">
        <w:trPr>
          <w:cantSplit/>
          <w:jc w:val="center"/>
        </w:trPr>
        <w:tc>
          <w:tcPr>
            <w:tcW w:w="1417" w:type="dxa"/>
            <w:tcBorders>
              <w:top w:val="nil"/>
            </w:tcBorders>
            <w:tcMar>
              <w:top w:w="0" w:type="dxa"/>
              <w:left w:w="115" w:type="dxa"/>
              <w:bottom w:w="0" w:type="dxa"/>
              <w:right w:w="115" w:type="dxa"/>
            </w:tcMar>
            <w:vAlign w:val="center"/>
          </w:tcPr>
          <w:p w14:paraId="6E29B766" w14:textId="77777777" w:rsidR="0055531E" w:rsidRDefault="0055531E" w:rsidP="00EB1759">
            <w:pPr>
              <w:jc w:val="both"/>
              <w:rPr>
                <w:rFonts w:ascii="Times New Roman" w:eastAsia="Times New Roman" w:hAnsi="Times New Roman"/>
                <w:color w:val="000000"/>
                <w:sz w:val="24"/>
                <w:szCs w:val="24"/>
              </w:rPr>
            </w:pPr>
          </w:p>
        </w:tc>
        <w:tc>
          <w:tcPr>
            <w:tcW w:w="2127" w:type="dxa"/>
            <w:vMerge/>
            <w:tcBorders>
              <w:top w:val="single" w:sz="4" w:space="0" w:color="000000"/>
            </w:tcBorders>
            <w:tcMar>
              <w:top w:w="0" w:type="dxa"/>
              <w:left w:w="115" w:type="dxa"/>
              <w:bottom w:w="0" w:type="dxa"/>
              <w:right w:w="115" w:type="dxa"/>
            </w:tcMar>
            <w:vAlign w:val="center"/>
          </w:tcPr>
          <w:p w14:paraId="516DC2C2" w14:textId="77777777" w:rsidR="0055531E" w:rsidRDefault="0055531E" w:rsidP="00EB1759">
            <w:pPr>
              <w:pBdr>
                <w:top w:val="nil"/>
                <w:left w:val="nil"/>
                <w:bottom w:val="nil"/>
                <w:right w:val="nil"/>
                <w:between w:val="nil"/>
              </w:pBdr>
              <w:spacing w:line="276" w:lineRule="auto"/>
              <w:rPr>
                <w:rFonts w:ascii="Times New Roman" w:eastAsia="Times New Roman" w:hAnsi="Times New Roman"/>
                <w:color w:val="000000"/>
                <w:sz w:val="24"/>
                <w:szCs w:val="24"/>
              </w:rPr>
            </w:pPr>
          </w:p>
        </w:tc>
        <w:tc>
          <w:tcPr>
            <w:tcW w:w="1701" w:type="dxa"/>
            <w:gridSpan w:val="2"/>
            <w:tcBorders>
              <w:top w:val="nil"/>
            </w:tcBorders>
            <w:tcMar>
              <w:top w:w="0" w:type="dxa"/>
              <w:left w:w="115" w:type="dxa"/>
              <w:bottom w:w="0" w:type="dxa"/>
              <w:right w:w="115" w:type="dxa"/>
            </w:tcMar>
            <w:vAlign w:val="center"/>
          </w:tcPr>
          <w:p w14:paraId="7AD56C4E" w14:textId="77777777" w:rsidR="0055531E" w:rsidRDefault="0055531E" w:rsidP="00EB1759">
            <w:pPr>
              <w:rPr>
                <w:rFonts w:ascii="Times New Roman" w:eastAsia="Times New Roman" w:hAnsi="Times New Roman"/>
                <w:color w:val="000000"/>
                <w:sz w:val="24"/>
                <w:szCs w:val="24"/>
              </w:rPr>
            </w:pPr>
            <w:r>
              <w:rPr>
                <w:rFonts w:ascii="Times New Roman" w:eastAsia="Times New Roman" w:hAnsi="Times New Roman"/>
                <w:color w:val="000000"/>
                <w:sz w:val="24"/>
                <w:szCs w:val="24"/>
              </w:rPr>
              <w:t>Time</w:t>
            </w:r>
          </w:p>
        </w:tc>
        <w:tc>
          <w:tcPr>
            <w:tcW w:w="1135" w:type="dxa"/>
            <w:tcBorders>
              <w:top w:val="nil"/>
            </w:tcBorders>
          </w:tcPr>
          <w:p w14:paraId="68A8F8C0"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(0,0935)</w:t>
            </w:r>
          </w:p>
        </w:tc>
        <w:tc>
          <w:tcPr>
            <w:tcW w:w="1983" w:type="dxa"/>
            <w:vMerge/>
            <w:tcBorders>
              <w:top w:val="single" w:sz="4" w:space="0" w:color="000000"/>
            </w:tcBorders>
          </w:tcPr>
          <w:p w14:paraId="355BC6E0" w14:textId="77777777" w:rsidR="0055531E" w:rsidRDefault="0055531E" w:rsidP="00EB1759">
            <w:pPr>
              <w:pBdr>
                <w:top w:val="nil"/>
                <w:left w:val="nil"/>
                <w:bottom w:val="nil"/>
                <w:right w:val="nil"/>
                <w:between w:val="nil"/>
              </w:pBdr>
              <w:spacing w:line="276" w:lineRule="auto"/>
              <w:rPr>
                <w:rFonts w:ascii="Times New Roman" w:eastAsia="Times New Roman" w:hAnsi="Times New Roman"/>
                <w:color w:val="000000"/>
                <w:sz w:val="24"/>
                <w:szCs w:val="24"/>
              </w:rPr>
            </w:pPr>
          </w:p>
        </w:tc>
      </w:tr>
      <w:tr w:rsidR="0055531E" w14:paraId="531BA22E" w14:textId="77777777" w:rsidTr="00EB1759">
        <w:trPr>
          <w:cantSplit/>
          <w:jc w:val="center"/>
        </w:trPr>
        <w:tc>
          <w:tcPr>
            <w:tcW w:w="1417" w:type="dxa"/>
            <w:tcMar>
              <w:top w:w="0" w:type="dxa"/>
              <w:left w:w="115" w:type="dxa"/>
              <w:bottom w:w="0" w:type="dxa"/>
              <w:right w:w="115" w:type="dxa"/>
            </w:tcMar>
            <w:vAlign w:val="center"/>
          </w:tcPr>
          <w:p w14:paraId="3E278F21" w14:textId="77777777" w:rsidR="0055531E" w:rsidRDefault="0055531E" w:rsidP="00EB1759">
            <w:pPr>
              <w:jc w:val="both"/>
              <w:rPr>
                <w:rFonts w:ascii="Times New Roman" w:eastAsia="Times New Roman" w:hAnsi="Times New Roman"/>
                <w:color w:val="000000"/>
                <w:sz w:val="24"/>
                <w:szCs w:val="24"/>
              </w:rPr>
            </w:pPr>
          </w:p>
        </w:tc>
        <w:tc>
          <w:tcPr>
            <w:tcW w:w="2127" w:type="dxa"/>
            <w:vMerge/>
            <w:tcBorders>
              <w:top w:val="single" w:sz="4" w:space="0" w:color="000000"/>
            </w:tcBorders>
            <w:tcMar>
              <w:top w:w="0" w:type="dxa"/>
              <w:left w:w="115" w:type="dxa"/>
              <w:bottom w:w="0" w:type="dxa"/>
              <w:right w:w="115" w:type="dxa"/>
            </w:tcMar>
            <w:vAlign w:val="center"/>
          </w:tcPr>
          <w:p w14:paraId="0EAAB2EB" w14:textId="77777777" w:rsidR="0055531E" w:rsidRDefault="0055531E" w:rsidP="00EB1759">
            <w:pPr>
              <w:pBdr>
                <w:top w:val="nil"/>
                <w:left w:val="nil"/>
                <w:bottom w:val="nil"/>
                <w:right w:val="nil"/>
                <w:between w:val="nil"/>
              </w:pBdr>
              <w:spacing w:line="276" w:lineRule="auto"/>
              <w:rPr>
                <w:rFonts w:ascii="Times New Roman" w:eastAsia="Times New Roman" w:hAnsi="Times New Roman"/>
                <w:color w:val="000000"/>
                <w:sz w:val="24"/>
                <w:szCs w:val="24"/>
              </w:rPr>
            </w:pPr>
          </w:p>
        </w:tc>
        <w:tc>
          <w:tcPr>
            <w:tcW w:w="1701" w:type="dxa"/>
            <w:gridSpan w:val="2"/>
            <w:tcMar>
              <w:top w:w="0" w:type="dxa"/>
              <w:left w:w="115" w:type="dxa"/>
              <w:bottom w:w="0" w:type="dxa"/>
              <w:right w:w="115" w:type="dxa"/>
            </w:tcMar>
            <w:vAlign w:val="center"/>
          </w:tcPr>
          <w:p w14:paraId="459E9140" w14:textId="77777777" w:rsidR="0055531E" w:rsidRDefault="0055531E" w:rsidP="00EB1759">
            <w:pPr>
              <w:rPr>
                <w:rFonts w:ascii="Times New Roman" w:eastAsia="Times New Roman" w:hAnsi="Times New Roman"/>
                <w:color w:val="000000"/>
                <w:sz w:val="24"/>
                <w:szCs w:val="24"/>
              </w:rPr>
            </w:pPr>
            <w:r>
              <w:rPr>
                <w:rFonts w:ascii="Times New Roman" w:eastAsia="Times New Roman" w:hAnsi="Times New Roman"/>
                <w:color w:val="000000"/>
                <w:sz w:val="24"/>
                <w:szCs w:val="24"/>
              </w:rPr>
              <w:t>Both</w:t>
            </w:r>
          </w:p>
        </w:tc>
        <w:tc>
          <w:tcPr>
            <w:tcW w:w="1135" w:type="dxa"/>
          </w:tcPr>
          <w:p w14:paraId="6F3720B5"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(0,0933)</w:t>
            </w:r>
          </w:p>
        </w:tc>
        <w:tc>
          <w:tcPr>
            <w:tcW w:w="1983" w:type="dxa"/>
            <w:vMerge/>
            <w:tcBorders>
              <w:top w:val="single" w:sz="4" w:space="0" w:color="000000"/>
            </w:tcBorders>
          </w:tcPr>
          <w:p w14:paraId="30EEC581" w14:textId="77777777" w:rsidR="0055531E" w:rsidRDefault="0055531E" w:rsidP="00EB1759">
            <w:pPr>
              <w:pBdr>
                <w:top w:val="nil"/>
                <w:left w:val="nil"/>
                <w:bottom w:val="nil"/>
                <w:right w:val="nil"/>
                <w:between w:val="nil"/>
              </w:pBdr>
              <w:spacing w:line="276" w:lineRule="auto"/>
              <w:rPr>
                <w:rFonts w:ascii="Times New Roman" w:eastAsia="Times New Roman" w:hAnsi="Times New Roman"/>
                <w:color w:val="000000"/>
                <w:sz w:val="24"/>
                <w:szCs w:val="24"/>
              </w:rPr>
            </w:pPr>
          </w:p>
        </w:tc>
      </w:tr>
    </w:tbl>
    <w:p w14:paraId="6629A104" w14:textId="2993C801" w:rsidR="0055531E" w:rsidRPr="003A1B47" w:rsidRDefault="003A1B47" w:rsidP="003A1B47">
      <w:pPr>
        <w:spacing w:line="360" w:lineRule="auto"/>
        <w:rPr>
          <w:rFonts w:ascii="Times New Roman" w:eastAsia="Times New Roman" w:hAnsi="Times New Roman"/>
          <w:color w:val="000000"/>
          <w:sz w:val="20"/>
          <w:szCs w:val="20"/>
        </w:rPr>
      </w:pPr>
      <w:r>
        <w:rPr>
          <w:rFonts w:ascii="Times New Roman" w:eastAsia="Times New Roman" w:hAnsi="Times New Roman"/>
          <w:color w:val="000000"/>
          <w:sz w:val="24"/>
          <w:szCs w:val="24"/>
        </w:rPr>
        <w:t xml:space="preserve">      </w:t>
      </w:r>
      <w:r w:rsidR="0055531E" w:rsidRPr="003A1B47">
        <w:rPr>
          <w:rFonts w:ascii="Times New Roman" w:eastAsia="Times New Roman" w:hAnsi="Times New Roman"/>
          <w:color w:val="000000"/>
          <w:sz w:val="20"/>
          <w:szCs w:val="20"/>
        </w:rPr>
        <w:t>Source: The data were processed by the author (2024)</w:t>
      </w:r>
    </w:p>
    <w:p w14:paraId="342D3ADE" w14:textId="77777777" w:rsidR="00291FD0" w:rsidRDefault="00291FD0" w:rsidP="003A1B47">
      <w:pPr>
        <w:pBdr>
          <w:top w:val="nil"/>
          <w:left w:val="nil"/>
          <w:bottom w:val="nil"/>
          <w:right w:val="nil"/>
          <w:between w:val="nil"/>
        </w:pBdr>
        <w:spacing w:line="360" w:lineRule="auto"/>
        <w:ind w:left="284" w:firstLine="436"/>
        <w:jc w:val="both"/>
        <w:rPr>
          <w:rFonts w:ascii="Times New Roman" w:eastAsia="Times New Roman" w:hAnsi="Times New Roman"/>
          <w:color w:val="000000"/>
          <w:sz w:val="24"/>
          <w:szCs w:val="24"/>
        </w:rPr>
      </w:pPr>
    </w:p>
    <w:p w14:paraId="6612FC47" w14:textId="6F9B4EDC" w:rsidR="0055531E" w:rsidRDefault="0055531E" w:rsidP="003A1B47">
      <w:pPr>
        <w:pBdr>
          <w:top w:val="nil"/>
          <w:left w:val="nil"/>
          <w:bottom w:val="nil"/>
          <w:right w:val="nil"/>
          <w:between w:val="nil"/>
        </w:pBdr>
        <w:spacing w:line="360" w:lineRule="auto"/>
        <w:ind w:left="284" w:firstLine="43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Based on the results of these tests, the chosen model for panel data regression is the</w:t>
      </w:r>
      <w:r w:rsidR="003A1B47">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Common Effect Model (CEM), as the Chow and Lagrange Multiplier tests show no rejection of Ho, and the Hausman test favors the Random Effect Model, which also does not reject Ho.</w:t>
      </w:r>
    </w:p>
    <w:p w14:paraId="22A829F0" w14:textId="77777777" w:rsidR="00341E3E" w:rsidRDefault="00341E3E" w:rsidP="003A1B47">
      <w:pPr>
        <w:pBdr>
          <w:top w:val="nil"/>
          <w:left w:val="nil"/>
          <w:bottom w:val="nil"/>
          <w:right w:val="nil"/>
          <w:between w:val="nil"/>
        </w:pBdr>
        <w:spacing w:line="360" w:lineRule="auto"/>
        <w:ind w:left="284" w:firstLine="436"/>
        <w:jc w:val="both"/>
        <w:rPr>
          <w:rFonts w:ascii="Times New Roman" w:eastAsia="Times New Roman" w:hAnsi="Times New Roman"/>
          <w:color w:val="000000"/>
          <w:sz w:val="24"/>
          <w:szCs w:val="24"/>
        </w:rPr>
      </w:pPr>
    </w:p>
    <w:p w14:paraId="01652A3B" w14:textId="77777777" w:rsidR="0055531E" w:rsidRPr="00291FD0" w:rsidRDefault="0055531E" w:rsidP="0055531E">
      <w:pPr>
        <w:widowControl/>
        <w:numPr>
          <w:ilvl w:val="0"/>
          <w:numId w:val="6"/>
        </w:numPr>
        <w:pBdr>
          <w:top w:val="nil"/>
          <w:left w:val="nil"/>
          <w:bottom w:val="nil"/>
          <w:right w:val="nil"/>
          <w:between w:val="nil"/>
        </w:pBdr>
        <w:spacing w:line="360" w:lineRule="auto"/>
        <w:ind w:left="284" w:hanging="142"/>
        <w:jc w:val="both"/>
        <w:rPr>
          <w:rFonts w:ascii="Times New Roman" w:eastAsia="Times New Roman" w:hAnsi="Times New Roman"/>
          <w:b/>
          <w:color w:val="000000"/>
          <w:sz w:val="24"/>
          <w:szCs w:val="24"/>
        </w:rPr>
      </w:pPr>
      <w:r w:rsidRPr="00291FD0">
        <w:rPr>
          <w:rFonts w:ascii="Times New Roman" w:eastAsia="Times New Roman" w:hAnsi="Times New Roman"/>
          <w:b/>
          <w:color w:val="000000"/>
          <w:sz w:val="24"/>
          <w:szCs w:val="24"/>
        </w:rPr>
        <w:lastRenderedPageBreak/>
        <w:t>T-Test for the Hypothesis</w:t>
      </w:r>
    </w:p>
    <w:p w14:paraId="2111C545" w14:textId="77777777" w:rsidR="0055531E" w:rsidRDefault="0055531E" w:rsidP="0055531E">
      <w:pPr>
        <w:widowControl/>
        <w:pBdr>
          <w:top w:val="nil"/>
          <w:left w:val="nil"/>
          <w:bottom w:val="nil"/>
          <w:right w:val="nil"/>
          <w:between w:val="nil"/>
        </w:pBdr>
        <w:spacing w:line="360" w:lineRule="auto"/>
        <w:ind w:left="284" w:firstLine="43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T-test or partial test is usually used in determining the existence of a clear or partial influence of each of the independent variables on the dependent variable at a significant degree of 0.05. This means a value smaller than the degree of confidence means the hypothesis which states that a partially independent variable affects the dependent variable is accepted. The results, according to the Eviews12 test, are presented in the following table:</w:t>
      </w:r>
    </w:p>
    <w:p w14:paraId="41C9A582" w14:textId="77777777" w:rsidR="0055531E" w:rsidRPr="00291FD0" w:rsidRDefault="0055531E" w:rsidP="0055531E">
      <w:pPr>
        <w:spacing w:line="360" w:lineRule="auto"/>
        <w:jc w:val="center"/>
        <w:rPr>
          <w:rFonts w:ascii="Times New Roman" w:eastAsia="Times New Roman" w:hAnsi="Times New Roman"/>
          <w:b/>
          <w:sz w:val="24"/>
          <w:szCs w:val="24"/>
        </w:rPr>
      </w:pPr>
      <w:r w:rsidRPr="00291FD0">
        <w:rPr>
          <w:rFonts w:ascii="Times New Roman" w:eastAsia="Times New Roman" w:hAnsi="Times New Roman"/>
          <w:b/>
          <w:color w:val="000000"/>
          <w:sz w:val="24"/>
          <w:szCs w:val="24"/>
        </w:rPr>
        <w:t>Table 7. Multiple Regression Result</w:t>
      </w:r>
    </w:p>
    <w:tbl>
      <w:tblPr>
        <w:tblW w:w="9072" w:type="dxa"/>
        <w:jc w:val="center"/>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344"/>
        <w:gridCol w:w="2343"/>
        <w:gridCol w:w="2343"/>
        <w:gridCol w:w="2042"/>
      </w:tblGrid>
      <w:tr w:rsidR="0055531E" w14:paraId="0B79EA46" w14:textId="77777777" w:rsidTr="00291FD0">
        <w:trPr>
          <w:trHeight w:val="838"/>
          <w:tblHeader/>
          <w:jc w:val="center"/>
        </w:trPr>
        <w:tc>
          <w:tcPr>
            <w:tcW w:w="2344" w:type="dxa"/>
            <w:tcBorders>
              <w:top w:val="single" w:sz="4" w:space="0" w:color="000000"/>
              <w:bottom w:val="single" w:sz="4" w:space="0" w:color="000000"/>
            </w:tcBorders>
            <w:tcMar>
              <w:top w:w="0" w:type="dxa"/>
              <w:left w:w="115" w:type="dxa"/>
              <w:bottom w:w="0" w:type="dxa"/>
              <w:right w:w="115" w:type="dxa"/>
            </w:tcMar>
            <w:vAlign w:val="center"/>
          </w:tcPr>
          <w:p w14:paraId="6FDF4F77" w14:textId="77777777" w:rsidR="0055531E" w:rsidRDefault="0055531E" w:rsidP="00F07AC2">
            <w:pPr>
              <w:jc w:val="center"/>
              <w:rPr>
                <w:rFonts w:ascii="Times New Roman" w:eastAsia="Times New Roman" w:hAnsi="Times New Roman"/>
                <w:sz w:val="24"/>
                <w:szCs w:val="24"/>
              </w:rPr>
            </w:pPr>
            <w:r>
              <w:rPr>
                <w:rFonts w:ascii="Times New Roman" w:eastAsia="Times New Roman" w:hAnsi="Times New Roman"/>
                <w:b/>
                <w:color w:val="000000"/>
                <w:sz w:val="24"/>
                <w:szCs w:val="24"/>
              </w:rPr>
              <w:t>Variable</w:t>
            </w:r>
          </w:p>
        </w:tc>
        <w:tc>
          <w:tcPr>
            <w:tcW w:w="2343" w:type="dxa"/>
            <w:tcBorders>
              <w:top w:val="single" w:sz="4" w:space="0" w:color="000000"/>
              <w:bottom w:val="single" w:sz="4" w:space="0" w:color="000000"/>
            </w:tcBorders>
            <w:tcMar>
              <w:top w:w="0" w:type="dxa"/>
              <w:left w:w="115" w:type="dxa"/>
              <w:bottom w:w="0" w:type="dxa"/>
              <w:right w:w="115" w:type="dxa"/>
            </w:tcMar>
            <w:vAlign w:val="center"/>
          </w:tcPr>
          <w:p w14:paraId="64F88BA7"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Fixed Model Coefficient (P-value)</w:t>
            </w:r>
          </w:p>
        </w:tc>
        <w:tc>
          <w:tcPr>
            <w:tcW w:w="2343" w:type="dxa"/>
            <w:tcBorders>
              <w:top w:val="single" w:sz="4" w:space="0" w:color="000000"/>
              <w:bottom w:val="single" w:sz="4" w:space="0" w:color="000000"/>
            </w:tcBorders>
            <w:tcMar>
              <w:top w:w="0" w:type="dxa"/>
              <w:left w:w="115" w:type="dxa"/>
              <w:bottom w:w="0" w:type="dxa"/>
              <w:right w:w="115" w:type="dxa"/>
            </w:tcMar>
            <w:vAlign w:val="center"/>
          </w:tcPr>
          <w:p w14:paraId="2E127696"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color w:val="000000"/>
                <w:sz w:val="24"/>
                <w:szCs w:val="24"/>
              </w:rPr>
              <w:t>Random Model Coefficient (P-value)</w:t>
            </w:r>
          </w:p>
        </w:tc>
        <w:tc>
          <w:tcPr>
            <w:tcW w:w="2042" w:type="dxa"/>
            <w:tcBorders>
              <w:top w:val="single" w:sz="4" w:space="0" w:color="000000"/>
              <w:bottom w:val="single" w:sz="4" w:space="0" w:color="000000"/>
            </w:tcBorders>
          </w:tcPr>
          <w:p w14:paraId="155C281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Common Model Coefficient (P-value)</w:t>
            </w:r>
          </w:p>
        </w:tc>
      </w:tr>
      <w:tr w:rsidR="0055531E" w14:paraId="0D0DA1CA" w14:textId="77777777" w:rsidTr="00291FD0">
        <w:trPr>
          <w:trHeight w:val="559"/>
          <w:jc w:val="center"/>
        </w:trPr>
        <w:tc>
          <w:tcPr>
            <w:tcW w:w="2344" w:type="dxa"/>
            <w:tcBorders>
              <w:top w:val="single" w:sz="4" w:space="0" w:color="000000"/>
              <w:bottom w:val="single" w:sz="4" w:space="0" w:color="000000"/>
            </w:tcBorders>
            <w:tcMar>
              <w:top w:w="0" w:type="dxa"/>
              <w:left w:w="115" w:type="dxa"/>
              <w:bottom w:w="0" w:type="dxa"/>
              <w:right w:w="115" w:type="dxa"/>
            </w:tcMar>
            <w:vAlign w:val="center"/>
          </w:tcPr>
          <w:p w14:paraId="5F1D2797" w14:textId="77777777" w:rsidR="0055531E" w:rsidRDefault="0055531E" w:rsidP="00EB1759">
            <w:pPr>
              <w:jc w:val="both"/>
              <w:rPr>
                <w:rFonts w:ascii="Times New Roman" w:eastAsia="Times New Roman" w:hAnsi="Times New Roman"/>
                <w:sz w:val="24"/>
                <w:szCs w:val="24"/>
              </w:rPr>
            </w:pPr>
            <w:r>
              <w:rPr>
                <w:rFonts w:ascii="Times New Roman" w:eastAsia="Times New Roman" w:hAnsi="Times New Roman"/>
                <w:color w:val="000000"/>
                <w:sz w:val="24"/>
                <w:szCs w:val="24"/>
              </w:rPr>
              <w:t>C</w:t>
            </w:r>
          </w:p>
        </w:tc>
        <w:tc>
          <w:tcPr>
            <w:tcW w:w="2343" w:type="dxa"/>
            <w:tcBorders>
              <w:top w:val="single" w:sz="4" w:space="0" w:color="000000"/>
              <w:bottom w:val="single" w:sz="4" w:space="0" w:color="000000"/>
            </w:tcBorders>
            <w:tcMar>
              <w:top w:w="0" w:type="dxa"/>
              <w:left w:w="115" w:type="dxa"/>
              <w:bottom w:w="0" w:type="dxa"/>
              <w:right w:w="115" w:type="dxa"/>
            </w:tcMar>
          </w:tcPr>
          <w:p w14:paraId="7C84B37A"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-0.741996</w:t>
            </w:r>
          </w:p>
          <w:p w14:paraId="09E6578B"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(0.2055)</w:t>
            </w:r>
          </w:p>
        </w:tc>
        <w:tc>
          <w:tcPr>
            <w:tcW w:w="2343" w:type="dxa"/>
            <w:tcBorders>
              <w:top w:val="single" w:sz="4" w:space="0" w:color="000000"/>
              <w:bottom w:val="single" w:sz="4" w:space="0" w:color="000000"/>
            </w:tcBorders>
            <w:tcMar>
              <w:top w:w="0" w:type="dxa"/>
              <w:left w:w="115" w:type="dxa"/>
              <w:bottom w:w="0" w:type="dxa"/>
              <w:right w:w="115" w:type="dxa"/>
            </w:tcMar>
          </w:tcPr>
          <w:p w14:paraId="64B92BA9"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-3.503410</w:t>
            </w:r>
          </w:p>
          <w:p w14:paraId="2ECCED21"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(0.5640)</w:t>
            </w:r>
          </w:p>
        </w:tc>
        <w:tc>
          <w:tcPr>
            <w:tcW w:w="2042" w:type="dxa"/>
            <w:tcBorders>
              <w:top w:val="single" w:sz="4" w:space="0" w:color="000000"/>
              <w:bottom w:val="single" w:sz="4" w:space="0" w:color="000000"/>
            </w:tcBorders>
          </w:tcPr>
          <w:p w14:paraId="06B1D2B3"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-0.756523</w:t>
            </w:r>
          </w:p>
          <w:p w14:paraId="6EECC9FB"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(0.0135)</w:t>
            </w:r>
          </w:p>
        </w:tc>
      </w:tr>
      <w:tr w:rsidR="0055531E" w14:paraId="1E34EB3B" w14:textId="77777777" w:rsidTr="00291FD0">
        <w:trPr>
          <w:trHeight w:val="559"/>
          <w:jc w:val="center"/>
        </w:trPr>
        <w:tc>
          <w:tcPr>
            <w:tcW w:w="2344" w:type="dxa"/>
            <w:tcBorders>
              <w:top w:val="single" w:sz="4" w:space="0" w:color="000000"/>
            </w:tcBorders>
            <w:tcMar>
              <w:top w:w="0" w:type="dxa"/>
              <w:left w:w="115" w:type="dxa"/>
              <w:bottom w:w="0" w:type="dxa"/>
              <w:right w:w="115" w:type="dxa"/>
            </w:tcMar>
            <w:vAlign w:val="center"/>
          </w:tcPr>
          <w:p w14:paraId="5F0482BF"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DER</w:t>
            </w:r>
          </w:p>
        </w:tc>
        <w:tc>
          <w:tcPr>
            <w:tcW w:w="2343" w:type="dxa"/>
            <w:tcBorders>
              <w:top w:val="single" w:sz="4" w:space="0" w:color="000000"/>
            </w:tcBorders>
            <w:tcMar>
              <w:top w:w="0" w:type="dxa"/>
              <w:left w:w="115" w:type="dxa"/>
              <w:bottom w:w="0" w:type="dxa"/>
              <w:right w:w="115" w:type="dxa"/>
            </w:tcMar>
          </w:tcPr>
          <w:p w14:paraId="4B18B459"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0.019956</w:t>
            </w:r>
          </w:p>
          <w:p w14:paraId="0DCBA7CE"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(0.2921)</w:t>
            </w:r>
          </w:p>
        </w:tc>
        <w:tc>
          <w:tcPr>
            <w:tcW w:w="2343" w:type="dxa"/>
            <w:tcBorders>
              <w:top w:val="single" w:sz="4" w:space="0" w:color="000000"/>
            </w:tcBorders>
            <w:tcMar>
              <w:top w:w="0" w:type="dxa"/>
              <w:left w:w="115" w:type="dxa"/>
              <w:bottom w:w="0" w:type="dxa"/>
              <w:right w:w="115" w:type="dxa"/>
            </w:tcMar>
          </w:tcPr>
          <w:p w14:paraId="58F14BC6"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0.028203</w:t>
            </w:r>
          </w:p>
          <w:p w14:paraId="3BF4BEC6"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(0.7023)</w:t>
            </w:r>
          </w:p>
        </w:tc>
        <w:tc>
          <w:tcPr>
            <w:tcW w:w="2042" w:type="dxa"/>
            <w:tcBorders>
              <w:top w:val="single" w:sz="4" w:space="0" w:color="000000"/>
            </w:tcBorders>
          </w:tcPr>
          <w:p w14:paraId="37479596"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0.038337</w:t>
            </w:r>
          </w:p>
          <w:p w14:paraId="5042654C"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(0.0001***)</w:t>
            </w:r>
          </w:p>
        </w:tc>
      </w:tr>
      <w:tr w:rsidR="0055531E" w14:paraId="62B2AF41" w14:textId="77777777" w:rsidTr="00291FD0">
        <w:trPr>
          <w:trHeight w:val="559"/>
          <w:jc w:val="center"/>
        </w:trPr>
        <w:tc>
          <w:tcPr>
            <w:tcW w:w="2344" w:type="dxa"/>
            <w:tcBorders>
              <w:top w:val="single" w:sz="4" w:space="0" w:color="000000"/>
            </w:tcBorders>
            <w:tcMar>
              <w:top w:w="0" w:type="dxa"/>
              <w:left w:w="115" w:type="dxa"/>
              <w:bottom w:w="0" w:type="dxa"/>
              <w:right w:w="115" w:type="dxa"/>
            </w:tcMar>
            <w:vAlign w:val="center"/>
          </w:tcPr>
          <w:p w14:paraId="6F30E902"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ROA</w:t>
            </w:r>
          </w:p>
        </w:tc>
        <w:tc>
          <w:tcPr>
            <w:tcW w:w="2343" w:type="dxa"/>
            <w:tcBorders>
              <w:top w:val="single" w:sz="4" w:space="0" w:color="000000"/>
            </w:tcBorders>
            <w:tcMar>
              <w:top w:w="0" w:type="dxa"/>
              <w:left w:w="115" w:type="dxa"/>
              <w:bottom w:w="0" w:type="dxa"/>
              <w:right w:w="115" w:type="dxa"/>
            </w:tcMar>
          </w:tcPr>
          <w:p w14:paraId="4267E2DE"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-4.088314</w:t>
            </w:r>
          </w:p>
          <w:p w14:paraId="26774347"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(0.2694)</w:t>
            </w:r>
          </w:p>
        </w:tc>
        <w:tc>
          <w:tcPr>
            <w:tcW w:w="2343" w:type="dxa"/>
            <w:tcBorders>
              <w:top w:val="single" w:sz="4" w:space="0" w:color="000000"/>
            </w:tcBorders>
            <w:tcMar>
              <w:top w:w="0" w:type="dxa"/>
              <w:left w:w="115" w:type="dxa"/>
              <w:bottom w:w="0" w:type="dxa"/>
              <w:right w:w="115" w:type="dxa"/>
            </w:tcMar>
          </w:tcPr>
          <w:p w14:paraId="485CD275"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-12.03965</w:t>
            </w:r>
          </w:p>
          <w:p w14:paraId="2C02C047"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(0.0301**)</w:t>
            </w:r>
          </w:p>
        </w:tc>
        <w:tc>
          <w:tcPr>
            <w:tcW w:w="2042" w:type="dxa"/>
            <w:tcBorders>
              <w:top w:val="single" w:sz="4" w:space="0" w:color="000000"/>
            </w:tcBorders>
          </w:tcPr>
          <w:p w14:paraId="00971B3E"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4.287819</w:t>
            </w:r>
          </w:p>
          <w:p w14:paraId="3FFCDCE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(0.0293**)</w:t>
            </w:r>
          </w:p>
        </w:tc>
      </w:tr>
      <w:tr w:rsidR="0055531E" w14:paraId="6C105E9A" w14:textId="77777777" w:rsidTr="00291FD0">
        <w:trPr>
          <w:trHeight w:val="546"/>
          <w:jc w:val="center"/>
        </w:trPr>
        <w:tc>
          <w:tcPr>
            <w:tcW w:w="2344" w:type="dxa"/>
            <w:tcBorders>
              <w:top w:val="single" w:sz="4" w:space="0" w:color="000000"/>
            </w:tcBorders>
            <w:tcMar>
              <w:top w:w="0" w:type="dxa"/>
              <w:left w:w="115" w:type="dxa"/>
              <w:bottom w:w="0" w:type="dxa"/>
              <w:right w:w="115" w:type="dxa"/>
            </w:tcMar>
            <w:vAlign w:val="center"/>
          </w:tcPr>
          <w:p w14:paraId="7BFA3E28"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CR</w:t>
            </w:r>
          </w:p>
        </w:tc>
        <w:tc>
          <w:tcPr>
            <w:tcW w:w="2343" w:type="dxa"/>
            <w:tcBorders>
              <w:top w:val="single" w:sz="4" w:space="0" w:color="000000"/>
            </w:tcBorders>
            <w:tcMar>
              <w:top w:w="0" w:type="dxa"/>
              <w:left w:w="115" w:type="dxa"/>
              <w:bottom w:w="0" w:type="dxa"/>
              <w:right w:w="115" w:type="dxa"/>
            </w:tcMar>
          </w:tcPr>
          <w:p w14:paraId="4A2F73CD"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0.062161</w:t>
            </w:r>
          </w:p>
          <w:p w14:paraId="197A4F46"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(0.1624)</w:t>
            </w:r>
          </w:p>
        </w:tc>
        <w:tc>
          <w:tcPr>
            <w:tcW w:w="2343" w:type="dxa"/>
            <w:tcBorders>
              <w:top w:val="single" w:sz="4" w:space="0" w:color="000000"/>
            </w:tcBorders>
            <w:tcMar>
              <w:top w:w="0" w:type="dxa"/>
              <w:left w:w="115" w:type="dxa"/>
              <w:bottom w:w="0" w:type="dxa"/>
              <w:right w:w="115" w:type="dxa"/>
            </w:tcMar>
          </w:tcPr>
          <w:p w14:paraId="043FF511"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-0.028515</w:t>
            </w:r>
          </w:p>
          <w:p w14:paraId="24A94F57"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(0.8336)</w:t>
            </w:r>
          </w:p>
        </w:tc>
        <w:tc>
          <w:tcPr>
            <w:tcW w:w="2042" w:type="dxa"/>
            <w:tcBorders>
              <w:top w:val="single" w:sz="4" w:space="0" w:color="000000"/>
            </w:tcBorders>
          </w:tcPr>
          <w:p w14:paraId="0E557EFF"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sz w:val="24"/>
                <w:szCs w:val="24"/>
              </w:rPr>
              <w:t>0.006680</w:t>
            </w:r>
          </w:p>
          <w:p w14:paraId="00F5AD9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(0.7649)</w:t>
            </w:r>
          </w:p>
        </w:tc>
      </w:tr>
      <w:tr w:rsidR="0055531E" w14:paraId="246CD542" w14:textId="77777777" w:rsidTr="00291FD0">
        <w:trPr>
          <w:trHeight w:val="559"/>
          <w:jc w:val="center"/>
        </w:trPr>
        <w:tc>
          <w:tcPr>
            <w:tcW w:w="2344" w:type="dxa"/>
            <w:tcBorders>
              <w:top w:val="single" w:sz="4" w:space="0" w:color="000000"/>
              <w:bottom w:val="single" w:sz="4" w:space="0" w:color="000000"/>
            </w:tcBorders>
            <w:tcMar>
              <w:top w:w="0" w:type="dxa"/>
              <w:left w:w="115" w:type="dxa"/>
              <w:bottom w:w="0" w:type="dxa"/>
              <w:right w:w="115" w:type="dxa"/>
            </w:tcMar>
            <w:vAlign w:val="center"/>
          </w:tcPr>
          <w:p w14:paraId="4B0A2C5D"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PG</w:t>
            </w:r>
          </w:p>
        </w:tc>
        <w:tc>
          <w:tcPr>
            <w:tcW w:w="2343" w:type="dxa"/>
            <w:tcBorders>
              <w:top w:val="single" w:sz="4" w:space="0" w:color="000000"/>
              <w:bottom w:val="single" w:sz="4" w:space="0" w:color="000000"/>
            </w:tcBorders>
            <w:tcMar>
              <w:top w:w="0" w:type="dxa"/>
              <w:left w:w="115" w:type="dxa"/>
              <w:bottom w:w="0" w:type="dxa"/>
              <w:right w:w="115" w:type="dxa"/>
            </w:tcMar>
          </w:tcPr>
          <w:p w14:paraId="6054B8E2"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-0.080163</w:t>
            </w:r>
            <w:r>
              <w:rPr>
                <w:rFonts w:ascii="Times New Roman" w:eastAsia="Times New Roman" w:hAnsi="Times New Roman"/>
                <w:sz w:val="24"/>
                <w:szCs w:val="24"/>
              </w:rPr>
              <w:br/>
              <w:t>(0.0066***)</w:t>
            </w:r>
          </w:p>
        </w:tc>
        <w:tc>
          <w:tcPr>
            <w:tcW w:w="2343" w:type="dxa"/>
            <w:tcBorders>
              <w:top w:val="single" w:sz="4" w:space="0" w:color="000000"/>
              <w:bottom w:val="single" w:sz="4" w:space="0" w:color="000000"/>
            </w:tcBorders>
            <w:tcMar>
              <w:top w:w="0" w:type="dxa"/>
              <w:left w:w="115" w:type="dxa"/>
              <w:bottom w:w="0" w:type="dxa"/>
              <w:right w:w="115" w:type="dxa"/>
            </w:tcMar>
          </w:tcPr>
          <w:p w14:paraId="2D45B2C9"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-0.081286</w:t>
            </w:r>
            <w:r>
              <w:rPr>
                <w:rFonts w:ascii="Times New Roman" w:eastAsia="Times New Roman" w:hAnsi="Times New Roman"/>
                <w:sz w:val="24"/>
                <w:szCs w:val="24"/>
              </w:rPr>
              <w:br/>
              <w:t>(0.0118***)</w:t>
            </w:r>
          </w:p>
        </w:tc>
        <w:tc>
          <w:tcPr>
            <w:tcW w:w="2042" w:type="dxa"/>
            <w:tcBorders>
              <w:top w:val="single" w:sz="4" w:space="0" w:color="000000"/>
              <w:bottom w:val="single" w:sz="4" w:space="0" w:color="000000"/>
            </w:tcBorders>
          </w:tcPr>
          <w:p w14:paraId="65E88616"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-0.220389</w:t>
            </w:r>
            <w:r>
              <w:rPr>
                <w:rFonts w:ascii="Times New Roman" w:eastAsia="Times New Roman" w:hAnsi="Times New Roman"/>
                <w:sz w:val="24"/>
                <w:szCs w:val="24"/>
              </w:rPr>
              <w:br/>
              <w:t>(0.0000***)</w:t>
            </w:r>
          </w:p>
        </w:tc>
      </w:tr>
      <w:tr w:rsidR="0055531E" w14:paraId="7109746A" w14:textId="77777777" w:rsidTr="00291FD0">
        <w:trPr>
          <w:trHeight w:val="559"/>
          <w:jc w:val="center"/>
        </w:trPr>
        <w:tc>
          <w:tcPr>
            <w:tcW w:w="2344" w:type="dxa"/>
            <w:tcBorders>
              <w:top w:val="single" w:sz="4" w:space="0" w:color="000000"/>
              <w:bottom w:val="single" w:sz="4" w:space="0" w:color="000000"/>
            </w:tcBorders>
            <w:tcMar>
              <w:top w:w="0" w:type="dxa"/>
              <w:left w:w="115" w:type="dxa"/>
              <w:bottom w:w="0" w:type="dxa"/>
              <w:right w:w="115" w:type="dxa"/>
            </w:tcMar>
            <w:vAlign w:val="center"/>
          </w:tcPr>
          <w:p w14:paraId="7E3E0197"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Ln(FS)</w:t>
            </w:r>
          </w:p>
        </w:tc>
        <w:tc>
          <w:tcPr>
            <w:tcW w:w="2343" w:type="dxa"/>
            <w:tcBorders>
              <w:top w:val="single" w:sz="4" w:space="0" w:color="000000"/>
              <w:bottom w:val="single" w:sz="4" w:space="0" w:color="000000"/>
            </w:tcBorders>
            <w:tcMar>
              <w:top w:w="0" w:type="dxa"/>
              <w:left w:w="115" w:type="dxa"/>
              <w:bottom w:w="0" w:type="dxa"/>
              <w:right w:w="115" w:type="dxa"/>
            </w:tcMar>
          </w:tcPr>
          <w:p w14:paraId="2BCFFC09"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0.057058</w:t>
            </w:r>
            <w:r>
              <w:rPr>
                <w:rFonts w:ascii="Times New Roman" w:eastAsia="Times New Roman" w:hAnsi="Times New Roman"/>
                <w:sz w:val="24"/>
                <w:szCs w:val="24"/>
              </w:rPr>
              <w:br/>
              <w:t>(0.0471**)</w:t>
            </w:r>
          </w:p>
        </w:tc>
        <w:tc>
          <w:tcPr>
            <w:tcW w:w="2343" w:type="dxa"/>
            <w:tcBorders>
              <w:top w:val="single" w:sz="4" w:space="0" w:color="000000"/>
              <w:bottom w:val="single" w:sz="4" w:space="0" w:color="000000"/>
            </w:tcBorders>
            <w:tcMar>
              <w:top w:w="0" w:type="dxa"/>
              <w:left w:w="115" w:type="dxa"/>
              <w:bottom w:w="0" w:type="dxa"/>
              <w:right w:w="115" w:type="dxa"/>
            </w:tcMar>
          </w:tcPr>
          <w:p w14:paraId="6504BA9C"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0.214342</w:t>
            </w:r>
            <w:r>
              <w:rPr>
                <w:rFonts w:ascii="Times New Roman" w:eastAsia="Times New Roman" w:hAnsi="Times New Roman"/>
                <w:sz w:val="24"/>
                <w:szCs w:val="24"/>
              </w:rPr>
              <w:br/>
              <w:t>(0.5174)</w:t>
            </w:r>
          </w:p>
        </w:tc>
        <w:tc>
          <w:tcPr>
            <w:tcW w:w="2042" w:type="dxa"/>
            <w:tcBorders>
              <w:top w:val="single" w:sz="4" w:space="0" w:color="000000"/>
              <w:bottom w:val="single" w:sz="4" w:space="0" w:color="000000"/>
            </w:tcBorders>
          </w:tcPr>
          <w:p w14:paraId="0177EE9B"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sz w:val="24"/>
                <w:szCs w:val="24"/>
              </w:rPr>
              <w:t>0.046985</w:t>
            </w:r>
            <w:r>
              <w:rPr>
                <w:rFonts w:ascii="Times New Roman" w:eastAsia="Times New Roman" w:hAnsi="Times New Roman"/>
                <w:sz w:val="24"/>
                <w:szCs w:val="24"/>
              </w:rPr>
              <w:br/>
              <w:t>(0.0021***)</w:t>
            </w:r>
          </w:p>
        </w:tc>
      </w:tr>
      <w:tr w:rsidR="0055531E" w14:paraId="0889368C" w14:textId="77777777" w:rsidTr="00291FD0">
        <w:trPr>
          <w:trHeight w:val="279"/>
          <w:jc w:val="center"/>
        </w:trPr>
        <w:tc>
          <w:tcPr>
            <w:tcW w:w="2344" w:type="dxa"/>
            <w:tcBorders>
              <w:top w:val="single" w:sz="4" w:space="0" w:color="000000"/>
            </w:tcBorders>
            <w:tcMar>
              <w:top w:w="0" w:type="dxa"/>
              <w:left w:w="115" w:type="dxa"/>
              <w:bottom w:w="0" w:type="dxa"/>
              <w:right w:w="115" w:type="dxa"/>
            </w:tcMar>
            <w:vAlign w:val="center"/>
          </w:tcPr>
          <w:p w14:paraId="12C40AFC"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Prob (F-statistic)</w:t>
            </w:r>
          </w:p>
        </w:tc>
        <w:tc>
          <w:tcPr>
            <w:tcW w:w="2343" w:type="dxa"/>
            <w:tcBorders>
              <w:top w:val="single" w:sz="4" w:space="0" w:color="000000"/>
            </w:tcBorders>
            <w:tcMar>
              <w:top w:w="0" w:type="dxa"/>
              <w:left w:w="115" w:type="dxa"/>
              <w:bottom w:w="0" w:type="dxa"/>
              <w:right w:w="115" w:type="dxa"/>
            </w:tcMar>
          </w:tcPr>
          <w:p w14:paraId="05E629F6"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0.018625</w:t>
            </w:r>
          </w:p>
        </w:tc>
        <w:tc>
          <w:tcPr>
            <w:tcW w:w="2343" w:type="dxa"/>
            <w:tcBorders>
              <w:top w:val="single" w:sz="4" w:space="0" w:color="000000"/>
            </w:tcBorders>
            <w:tcMar>
              <w:top w:w="0" w:type="dxa"/>
              <w:left w:w="115" w:type="dxa"/>
              <w:bottom w:w="0" w:type="dxa"/>
              <w:right w:w="115" w:type="dxa"/>
            </w:tcMar>
          </w:tcPr>
          <w:p w14:paraId="69E46F9F"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0.049645</w:t>
            </w:r>
          </w:p>
        </w:tc>
        <w:tc>
          <w:tcPr>
            <w:tcW w:w="2042" w:type="dxa"/>
            <w:tcBorders>
              <w:top w:val="single" w:sz="4" w:space="0" w:color="000000"/>
            </w:tcBorders>
          </w:tcPr>
          <w:p w14:paraId="7B9B1BDF"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sz w:val="24"/>
                <w:szCs w:val="24"/>
              </w:rPr>
              <w:t>0.000000</w:t>
            </w:r>
          </w:p>
        </w:tc>
      </w:tr>
      <w:tr w:rsidR="0055531E" w14:paraId="45381E3F" w14:textId="77777777" w:rsidTr="00291FD0">
        <w:trPr>
          <w:trHeight w:val="279"/>
          <w:jc w:val="center"/>
        </w:trPr>
        <w:tc>
          <w:tcPr>
            <w:tcW w:w="2344" w:type="dxa"/>
            <w:tcBorders>
              <w:top w:val="single" w:sz="4" w:space="0" w:color="000000"/>
            </w:tcBorders>
            <w:tcMar>
              <w:top w:w="0" w:type="dxa"/>
              <w:left w:w="115" w:type="dxa"/>
              <w:bottom w:w="0" w:type="dxa"/>
              <w:right w:w="115" w:type="dxa"/>
            </w:tcMar>
            <w:vAlign w:val="center"/>
          </w:tcPr>
          <w:p w14:paraId="12FE4824" w14:textId="77777777" w:rsidR="0055531E" w:rsidRDefault="0055531E" w:rsidP="00EB1759">
            <w:pPr>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Adjusted R-square</w:t>
            </w:r>
          </w:p>
        </w:tc>
        <w:tc>
          <w:tcPr>
            <w:tcW w:w="2343" w:type="dxa"/>
            <w:tcBorders>
              <w:top w:val="single" w:sz="4" w:space="0" w:color="000000"/>
            </w:tcBorders>
            <w:tcMar>
              <w:top w:w="0" w:type="dxa"/>
              <w:left w:w="115" w:type="dxa"/>
              <w:bottom w:w="0" w:type="dxa"/>
              <w:right w:w="115" w:type="dxa"/>
            </w:tcMar>
          </w:tcPr>
          <w:p w14:paraId="40225828"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0.144490</w:t>
            </w:r>
          </w:p>
        </w:tc>
        <w:tc>
          <w:tcPr>
            <w:tcW w:w="2343" w:type="dxa"/>
            <w:tcBorders>
              <w:top w:val="single" w:sz="4" w:space="0" w:color="000000"/>
            </w:tcBorders>
            <w:tcMar>
              <w:top w:w="0" w:type="dxa"/>
              <w:left w:w="115" w:type="dxa"/>
              <w:bottom w:w="0" w:type="dxa"/>
              <w:right w:w="115" w:type="dxa"/>
            </w:tcMar>
          </w:tcPr>
          <w:p w14:paraId="009CD086" w14:textId="77777777" w:rsidR="0055531E" w:rsidRDefault="0055531E" w:rsidP="00EB1759">
            <w:pPr>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0.193996</w:t>
            </w:r>
          </w:p>
        </w:tc>
        <w:tc>
          <w:tcPr>
            <w:tcW w:w="2042" w:type="dxa"/>
            <w:tcBorders>
              <w:top w:val="single" w:sz="4" w:space="0" w:color="000000"/>
            </w:tcBorders>
          </w:tcPr>
          <w:p w14:paraId="1AF85DED" w14:textId="77777777" w:rsidR="0055531E" w:rsidRDefault="0055531E" w:rsidP="00EB1759">
            <w:pPr>
              <w:jc w:val="center"/>
              <w:rPr>
                <w:rFonts w:ascii="Times New Roman" w:eastAsia="Times New Roman" w:hAnsi="Times New Roman"/>
                <w:sz w:val="24"/>
                <w:szCs w:val="24"/>
              </w:rPr>
            </w:pPr>
            <w:r>
              <w:rPr>
                <w:rFonts w:ascii="Times New Roman" w:eastAsia="Times New Roman" w:hAnsi="Times New Roman"/>
                <w:b/>
                <w:sz w:val="24"/>
                <w:szCs w:val="24"/>
              </w:rPr>
              <w:t>0.459792</w:t>
            </w:r>
          </w:p>
        </w:tc>
      </w:tr>
    </w:tbl>
    <w:p w14:paraId="14ED315E" w14:textId="77777777" w:rsidR="0055531E" w:rsidRPr="00F07AC2" w:rsidRDefault="0055531E" w:rsidP="00F07AC2">
      <w:pPr>
        <w:rPr>
          <w:rFonts w:ascii="Times New Roman" w:eastAsia="Times New Roman" w:hAnsi="Times New Roman"/>
          <w:color w:val="000000"/>
          <w:sz w:val="20"/>
          <w:szCs w:val="20"/>
        </w:rPr>
      </w:pPr>
      <w:r w:rsidRPr="00F07AC2">
        <w:rPr>
          <w:rFonts w:ascii="Times New Roman" w:eastAsia="Times New Roman" w:hAnsi="Times New Roman"/>
          <w:color w:val="000000"/>
          <w:sz w:val="20"/>
          <w:szCs w:val="20"/>
        </w:rPr>
        <w:t>Source: The data were processed by the author (2024)</w:t>
      </w:r>
    </w:p>
    <w:p w14:paraId="107744EF" w14:textId="77777777" w:rsidR="00F07AC2" w:rsidRDefault="00F07AC2" w:rsidP="005521A2">
      <w:pPr>
        <w:jc w:val="both"/>
        <w:rPr>
          <w:rFonts w:ascii="Times New Roman" w:eastAsia="Times New Roman" w:hAnsi="Times New Roman"/>
          <w:color w:val="000000"/>
          <w:sz w:val="20"/>
          <w:szCs w:val="20"/>
        </w:rPr>
      </w:pPr>
    </w:p>
    <w:p w14:paraId="6A8B901A" w14:textId="1BCFDDA8" w:rsidR="0055531E" w:rsidRDefault="0055531E" w:rsidP="005521A2">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Notes:</w:t>
      </w:r>
    </w:p>
    <w:p w14:paraId="0724350D" w14:textId="77777777" w:rsidR="0055531E" w:rsidRDefault="0055531E" w:rsidP="005521A2">
      <w:pPr>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 Significant level &lt; 0.05</w:t>
      </w:r>
    </w:p>
    <w:p w14:paraId="1313F404" w14:textId="77777777" w:rsidR="0055531E" w:rsidRDefault="0055531E" w:rsidP="005521A2">
      <w:pPr>
        <w:spacing w:line="36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 Significant level &lt; 0.01</w:t>
      </w:r>
    </w:p>
    <w:p w14:paraId="7F84EB15" w14:textId="13FB9246" w:rsidR="0055531E" w:rsidRPr="0055531E" w:rsidRDefault="0055531E" w:rsidP="0055531E">
      <w:pPr>
        <w:widowControl/>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p>
    <w:p w14:paraId="293B7639" w14:textId="77777777" w:rsidR="0055531E" w:rsidRPr="0055531E" w:rsidRDefault="00837505" w:rsidP="0055531E">
      <w:pPr>
        <w:widowControl/>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sdt>
        <w:sdtPr>
          <w:rPr>
            <w:rFonts w:ascii="Times New Roman" w:hAnsi="Times New Roman"/>
          </w:rPr>
          <w:tag w:val="goog_rdk_1"/>
          <w:id w:val="-250451450"/>
        </w:sdtPr>
        <w:sdtEndPr/>
        <w:sdtContent>
          <w:r w:rsidR="0055531E" w:rsidRPr="0055531E">
            <w:rPr>
              <w:rFonts w:ascii="Times New Roman" w:eastAsia="Gungsuh" w:hAnsi="Times New Roman"/>
              <w:color w:val="000000"/>
              <w:sz w:val="24"/>
              <w:szCs w:val="24"/>
            </w:rPr>
            <w:t>The profitability coefficient proxied through Return on Assets (ROA) of 4.287819 with a probability of 0.0293 (≤ 0.05) shows a positive influence on dividend policy in the Random and Common models. These results are in line with the initial hypothesis as well as the research of Hanif &amp; Bustamam (2017) and Shaleh et al. (2023), which states that ROA has a positive effect on the dividend payout ratio. High ROA reflects the optimization of assets in generating profits, increasing the company's financial capacity, and increasing opportunities for dividend distribution to shareholders. This positive effect of ROA is consistent in the Random and Common models, although in the Fixed model, the p-value greater than 0.05 indicates that the effect is not significant in the model.</w:t>
          </w:r>
        </w:sdtContent>
      </w:sdt>
    </w:p>
    <w:p w14:paraId="69332A44" w14:textId="0DE0439C" w:rsidR="0055531E" w:rsidRDefault="0055531E" w:rsidP="0055531E">
      <w:pPr>
        <w:widowControl/>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liquidity coefficient proxied by Current Ratio (CR) of 0.006680 with a probability of 0.7649 (&gt; 0.05) indicates that CR has no effect on dividend policy. This result is not in line </w:t>
      </w:r>
      <w:r>
        <w:rPr>
          <w:rFonts w:ascii="Times New Roman" w:eastAsia="Times New Roman" w:hAnsi="Times New Roman"/>
          <w:color w:val="000000"/>
          <w:sz w:val="24"/>
          <w:szCs w:val="24"/>
        </w:rPr>
        <w:lastRenderedPageBreak/>
        <w:t>with the initial hypothesis but supports the research of Nabela &amp; Dini Widyawati (2022) and Endah Sri Wahyuni (2021). High liquidity does not guarantee the company's ability to pay dividends, because increasing assets such as securities, receivables, and inventories do not always support dividend distribution. This insignificant effect is consistent across the three panel models, with p-values all greater than 0.05. In the Fixed model, CR has a coefficient of 0.062161 (p-value 0.1624), in the Random model of -0.028515 (p-value 0.8336), and in the Common model of 0.006680 (p-value 0.7649), indicating that the effect of CR on dividend policy is insignificant across models.</w:t>
      </w:r>
    </w:p>
    <w:p w14:paraId="6AE9706E" w14:textId="77777777" w:rsidR="0055531E" w:rsidRPr="0055531E" w:rsidRDefault="00837505" w:rsidP="0055531E">
      <w:pPr>
        <w:widowControl/>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sdt>
        <w:sdtPr>
          <w:rPr>
            <w:rFonts w:ascii="Times New Roman" w:hAnsi="Times New Roman"/>
          </w:rPr>
          <w:tag w:val="goog_rdk_2"/>
          <w:id w:val="1028417975"/>
        </w:sdtPr>
        <w:sdtEndPr/>
        <w:sdtContent>
          <w:r w:rsidR="0055531E" w:rsidRPr="0055531E">
            <w:rPr>
              <w:rFonts w:ascii="Times New Roman" w:eastAsia="Gungsuh" w:hAnsi="Times New Roman"/>
              <w:color w:val="000000"/>
              <w:sz w:val="24"/>
              <w:szCs w:val="24"/>
            </w:rPr>
            <w:t>The profit growth coefficient (PG) of -0.220389 with a probability of 0.0000 (≤ 0.05) shows a negative effect on dividend policy. These results are in line with the research of Sinta Cahyanti (2018) and Novianti &amp; Amanah (2017), which state that companies experiencing profit growth tend to hold profits for investment and future needs, resulting in reduced dividend payments. This negative effect is consistent across the three panel models, with p-values all smaller than 0.05. In the Fixed model, PG has a coefficient of -0.080163 (p-value 0.0066***), in the Random model of -0.081286 (p-value 0.0118**), and in the Common model of -0.220389 (p-value 0.0000***), indicating that the negative effect of earnings growth on dividend policy is consistent across models.</w:t>
          </w:r>
        </w:sdtContent>
      </w:sdt>
    </w:p>
    <w:p w14:paraId="188B2439" w14:textId="77777777" w:rsidR="0055531E" w:rsidRPr="0055531E" w:rsidRDefault="00837505" w:rsidP="0055531E">
      <w:pPr>
        <w:widowControl/>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sdt>
        <w:sdtPr>
          <w:rPr>
            <w:rFonts w:ascii="Times New Roman" w:hAnsi="Times New Roman"/>
          </w:rPr>
          <w:tag w:val="goog_rdk_3"/>
          <w:id w:val="743925306"/>
        </w:sdtPr>
        <w:sdtEndPr/>
        <w:sdtContent>
          <w:r w:rsidR="0055531E" w:rsidRPr="0055531E">
            <w:rPr>
              <w:rFonts w:ascii="Times New Roman" w:eastAsia="Gungsuh" w:hAnsi="Times New Roman"/>
              <w:color w:val="000000"/>
              <w:sz w:val="24"/>
              <w:szCs w:val="24"/>
            </w:rPr>
            <w:t>The profitability coefficient proxied through Firm Size (Ln (FS)) of 0.046985 with a probability of 0.0021 (≤ 0.05) shows a positive influence on dividend policy in the Fixed and Common models. This result is in line with the initial hypothesis as well as the research of Noefiansyah &amp; Idayati (2019) and Ardiyanto &amp; Laily (2023). Large-scale companies tend to pay higher dividends because they have a wide operational scale, low agency costs, and easier access to capital markets for operational funding and dividends. This positive effect is consistent in the Fixed and Common models, although in the Random model, the p-value greater than 0.05 indicates that the effect is not significant in the model.</w:t>
          </w:r>
        </w:sdtContent>
      </w:sdt>
    </w:p>
    <w:p w14:paraId="2CF966B7" w14:textId="77777777" w:rsidR="0055531E" w:rsidRDefault="0055531E" w:rsidP="0055531E">
      <w:pPr>
        <w:widowControl/>
        <w:pBdr>
          <w:top w:val="nil"/>
          <w:left w:val="nil"/>
          <w:bottom w:val="nil"/>
          <w:right w:val="nil"/>
          <w:between w:val="nil"/>
        </w:pBd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Based on the analysis, it can be concluded that earnings growth (PG) shows a consistent and significant negative effect across Fixed, Random, and Common models. Meanwhile, leverage (DER) only shows a significant effect in the Common model, but is not significant in the Fixed and Random models. Profitability (ROA) is positive and significant in the Random and Common models, but insignificant in the Fixed model. Liquidity (CR) shows no significant effect in all models, with a p-value greater than 0.05 in all models. Finally, Firm Size shows a significant positive effect in the Fixed and Common models, but insignificant in the Random model.</w:t>
      </w:r>
    </w:p>
    <w:p w14:paraId="681A30D3" w14:textId="77777777" w:rsidR="005521A2" w:rsidRDefault="005521A2" w:rsidP="0055531E">
      <w:pPr>
        <w:pBdr>
          <w:top w:val="nil"/>
          <w:left w:val="nil"/>
          <w:bottom w:val="nil"/>
          <w:right w:val="nil"/>
          <w:between w:val="nil"/>
        </w:pBdr>
        <w:spacing w:line="360" w:lineRule="auto"/>
        <w:rPr>
          <w:rFonts w:ascii="Times New Roman" w:eastAsia="Times New Roman" w:hAnsi="Times New Roman"/>
          <w:b/>
          <w:color w:val="000000"/>
          <w:sz w:val="24"/>
          <w:szCs w:val="24"/>
        </w:rPr>
      </w:pPr>
    </w:p>
    <w:p w14:paraId="76E6434F" w14:textId="1D3A7EAB" w:rsidR="0055531E" w:rsidRDefault="0055531E" w:rsidP="0055531E">
      <w:pPr>
        <w:pBdr>
          <w:top w:val="nil"/>
          <w:left w:val="nil"/>
          <w:bottom w:val="nil"/>
          <w:right w:val="nil"/>
          <w:between w:val="nil"/>
        </w:pBdr>
        <w:spacing w:line="36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lastRenderedPageBreak/>
        <w:t>CONCLUSIONS</w:t>
      </w:r>
    </w:p>
    <w:p w14:paraId="7AB11CD1"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Based on the results of the analysis and discussion carried out on the influence of leverage, profitability, liquidity, profit growth, and firm size variables on dividend policy in the banking sector on the Indonesia Stock Exchange for the 2019-2023 period, there are several findings that need to be considered in making managerial decisions regarding dividend policy. This study shows that the effect of financial variables on dividend policy varies across the panel models tested, namely Fixed, Random, and Common, which provides additional insight into the factors that influence dividend distribution decisions.</w:t>
      </w:r>
    </w:p>
    <w:p w14:paraId="77AB6626"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Leverage, proxied by Debt to Equity Ratio (DER), shows a positive influence on dividend policy, especially in the Common model. An increase in DER reflects the productive use of debt, which can increase the company's ability to generate profits and provide greater dividends to shareholders. However, in the Fixed and Random models, the effect of leverage is not significant, which indicates that the effect of debt on dividend policy can be influenced by various factors, including how the company manages and utilizes its debt. Therefore, company management needs to be careful in increasing the level of debt, ensuring that the debt actually supports the company's growth and does not burden cash flow that can reduce the ability to pay dividends.</w:t>
      </w:r>
    </w:p>
    <w:p w14:paraId="057AB320"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Profitability, proxied by Return on Assets (ROA), shows a positive influence on dividend policy in the Random and Common models. This result indicates that the higher the level of profitability of the company, the greater its ability to distribute dividends to shareholders. High profitability reflects the company's efficiency in utilizing assets to generate profits, which increases the company's financial capacity to distribute dividends. However, in the Fixed model, the effect of profitability on dividend policy is not significant, which indicates that in certain contexts, such as variability in market conditions or internal company policies, profitability may not always be a major factor in dividend distribution decisions.</w:t>
      </w:r>
    </w:p>
    <w:p w14:paraId="4F3674B7" w14:textId="08F64024"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Liquidity, proxied by Current Ratio (CR), does not show a significant influence on dividend policy in all three models tested. One of the most important variables examined in this study is liquidity, which deserves particular attention due to its dual role in banking operations. Liquidity, generally defined as a bank's ability to meet short-term obligations, is traditionally viewed as a positive factor for dividend distribution</w:t>
      </w:r>
      <w:r w:rsidR="00563DD1">
        <w:rPr>
          <w:rFonts w:ascii="Times New Roman" w:eastAsia="Times New Roman" w:hAnsi="Times New Roman"/>
          <w:sz w:val="24"/>
          <w:szCs w:val="24"/>
        </w:rPr>
        <w:t>-</w:t>
      </w:r>
      <w:r>
        <w:rPr>
          <w:rFonts w:ascii="Times New Roman" w:eastAsia="Times New Roman" w:hAnsi="Times New Roman"/>
          <w:sz w:val="24"/>
          <w:szCs w:val="24"/>
        </w:rPr>
        <w:t xml:space="preserve">indicating a healthy cash position and a lower risk of insolvency. However, in the context of the Indonesian banking sector, this study finds that the effect of liquidity on dividend policy is not always direct or positive. While some banks with high liquidity levels do issue dividends, others choose to retain earnings to maintain prudent reserves, especially amid regulatory pressures from OJK to </w:t>
      </w:r>
      <w:r>
        <w:rPr>
          <w:rFonts w:ascii="Times New Roman" w:eastAsia="Times New Roman" w:hAnsi="Times New Roman"/>
          <w:sz w:val="24"/>
          <w:szCs w:val="24"/>
        </w:rPr>
        <w:lastRenderedPageBreak/>
        <w:t>uphold minimum liquidity and capital adequacy standards. The conservative approach to liquidity management post-pandemic also reflects heightened sensitivity to market volatility, which may encourage banks to prioritize stability over aggressive dividend distribution. These findings highlight the strategic dilemma that banks face whether to allocate excess liquidity toward shareholder returns or to reinvest in long-term operational resilience.</w:t>
      </w:r>
    </w:p>
    <w:p w14:paraId="7728831E"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Profit growth (PG), which indicates the growth of corporate profits, has a negative influence on dividend policy in all models tested. Companies that experience high profit growth tend to retain these profits to support business expansion and capital strengthening, rather than distributing these profits as dividends. This reflects managerial priorities to invest in long-term growth, which can sometimes conflict with shareholders' needs for greater dividend distribution. Therefore, company management needs to balance between the need to reinvest profits and shareholders' expectations of dividend payments. In such a situation, the company should formulate a prudent profit allocation policy, considering both capital strengthening for long-term growth and adequate dividend payments.</w:t>
      </w:r>
    </w:p>
    <w:p w14:paraId="683B12A7"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Firm size, proxied by firm size (Ln(FS)), shows a positive influence on dividend policy in both Fixed and Common models. Large firms tend to have better financial stability, more consistent cash flows, and easier access to external funding sources. These factors provide greater ability for firms to pay higher dividends to shareholders. However, in the Random model, the effect of firm size on dividend policy is not significant, which suggests that in this model, other variables may be more dominant in determining dividend decisions. Overall, large firm size provides advantages in terms of financial capacity and stability, which may reinforce a more consistent and predictable dividend policy.</w:t>
      </w:r>
    </w:p>
    <w:p w14:paraId="3D477B24"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Overall, profit growth shows a consistent negative effect on dividend policy in all models tested, while leverage (DER) only shows a significant effect in the Common model. Profitability (ROA) provides a significant positive effect in the Random and Common models, but is not significant in the Fixed model. Liquidity (CR) shows no significant effect in all three models tested, and firm size shows a significant positive effect in the Fixed and Common models, but not in the Random model.</w:t>
      </w:r>
    </w:p>
    <w:p w14:paraId="7A4BF22F"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The managerial implications of these findings suggest that companies in the banking sector need to pay attention to profitability (ROA) and firm size in formulating an appropriate dividend policy. Profit growth must be managed wisely to balance long-term investment needs and dividend distribution to shareholders. Leverage management needs to be done carefully so that debt can be used productively without burdening cash flow and the ability to pay dividends. It is important to note that in order to maintain the sustainability of the company's growth and </w:t>
      </w:r>
      <w:r>
        <w:rPr>
          <w:rFonts w:ascii="Times New Roman" w:eastAsia="Times New Roman" w:hAnsi="Times New Roman"/>
          <w:sz w:val="24"/>
          <w:szCs w:val="24"/>
        </w:rPr>
        <w:lastRenderedPageBreak/>
        <w:t>competitiveness, the dividend policy must be in line with the prevailing regulations, especially those stipulated in POJK No. 17 of 2023, which emphasizes the importance of strengthening capital for banks to support their financial resilience and competitiveness. POJK No. 17 of 2023 suggests that banks prioritize profit allocation for capital strengthening to meet their growing capital needs, while also meeting regulatory requirements, such as capital adequacy ratio (CAR). Therefore, dividend policy needs to be considered in that context, ensuring a balance between capital strengthening and investor satisfaction through dividend distribution.</w:t>
      </w:r>
    </w:p>
    <w:p w14:paraId="4E96FAAC"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In addition, companies need to utilize debt wisely, especially to support capital strengthening and sustainable growth. As part of a strategy that complies with POJK No. 17 of 2023, the use of debt can provide the necessary flexibility to accelerate business expansion, while still paying attention to financial stability and the ability to pay dividends. Therefore, banking companies need to formulate a prudent policy between allocating profits for capital strengthening and adequate dividend payments so as not to sacrifice the financial stability needed to support long-term sustainability. Thus, companies in the banking sector should pay attention to POJK No. 17 of 2023 regulations in formulating dividend policies that reflect a balance between capital needs, business growth, and investor satisfaction. Prudent management of key financial variables, as well as fulfillment of provisions regulated by OJK, are key to maintaining the sustainability and competitiveness of the company in the long term. </w:t>
      </w:r>
    </w:p>
    <w:p w14:paraId="111B6D3B"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This study acknowledges several limitations that must be taken into account in interpreting the results and drawing conclusions. Firstly, the scope of the analysis is limited to five independent financial variables: leverage, profitability, liquidity, profit growth, and firm size. While these variables are widely recognized in the literature as key determinants of dividend policy, they do not fully encompass the broad range of financial and non-financial factors that may influence dividend decisions in modern banking institutions. Variables such as Return on Equity (ROE), Earnings Per Share (EPS), Price to Earnings Ratio (PER), and Free Cash Flow could offer deeper insight into a bank’s internal capacity to distribute dividends and deserve attention in future research. Secondly, the sample used in this study includes only 12 banks listed on the Indonesia Stock Exchange, selected through purposive sampling based on specific criteria, such as consistent financial reporting and dividend issuance during the observation period. While this sampling method ensures data reliability, it also introduces potential bias by excluding a significant number of banking institutions, including those undergoing restructuring or digital transformation phases that may influence their dividend behavior differently. As a result, the generalizability of the findings across the broader banking sector may be limited. Third, the time horizon of the study is relatively short, covering only a </w:t>
      </w:r>
      <w:r>
        <w:rPr>
          <w:rFonts w:ascii="Times New Roman" w:eastAsia="Times New Roman" w:hAnsi="Times New Roman"/>
          <w:sz w:val="24"/>
          <w:szCs w:val="24"/>
        </w:rPr>
        <w:lastRenderedPageBreak/>
        <w:t>five-year period from 2019 to 2023. This period, although recent and relevant, includes the extraordinary conditions caused by the COVID-19 pandemic and post-pandemic recovery, which may not represent long-term trends. A longer observation window would allow for the identification of cyclical patterns, structural changes in dividend behavior, and the enduring effects of regulatory shifts and macroeconomic dynamics on dividend policy.</w:t>
      </w:r>
    </w:p>
    <w:p w14:paraId="643A349E" w14:textId="77777777" w:rsidR="0055531E" w:rsidRDefault="0055531E" w:rsidP="0055531E">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Given these limitations, several avenues for future research are proposed. Firstly, researchers are encouraged to include a broader array of financial variables that reflect market performance and investor perceptions, such as market capitalization, stock return volatility, and dividend yield. Secondly, expanding the study to include other economic sectors such as manufacturing, consumer goods, telecommunications, or property could provide comparative insights and allow for cross-sectoral analysis. These sectors often operate under less stringent regulatory environments compared to banking, and their dividend policies are more influenced by market dynamics, investment cycles, and corporate governance practices. Including them in the scope of research would enrich academic understanding of how industry-specific factors shape dividend decisions. In addition to expanding variables and sectoral scope, future research should also explore the emerging dynamics within the banking sector itself, particularly the influence of digital banking transformation. Over the past few years, Indonesian banks have increasingly embraced digitization—investing heavily in mobile banking platforms, artificial intelligence for customer service and risk management, cloud infrastructure, and data-driven decision-making systems. These strategic shifts not only transform business models but also have potential implications for financial policy, including how and when banks allocate profits toward dividends versus reinvestment. For example, the capital-intensive nature of digital banking initiatives may lead to more conservative dividend policies in the short to medium term, as banks prioritize investment in digital infrastructure and innovation. Banks at the forefront of digital transformation may prefer to retain earnings to support technology upgrades, cybersecurity measures, and human capital development. Furthermore, the competitive pressure from fintech firms and digital-native financial service providers compels traditional banks to modernize rapidly, often at the expense of near-term shareholder returns.</w:t>
      </w:r>
    </w:p>
    <w:p w14:paraId="3E37AB14" w14:textId="2EA43ED3" w:rsidR="005C4E87" w:rsidRPr="00786FE8" w:rsidRDefault="0055531E" w:rsidP="0055531E">
      <w:pPr>
        <w:pStyle w:val="BodyText"/>
        <w:spacing w:line="360" w:lineRule="auto"/>
        <w:ind w:left="0" w:firstLine="720"/>
        <w:jc w:val="both"/>
        <w:rPr>
          <w:iCs/>
        </w:rPr>
      </w:pPr>
      <w:r>
        <w:t xml:space="preserve">However, digital banking also presents long-term advantages that could positively influence dividend policy in the future. Increased operational efficiency, broader customer reach, and enhanced service personalization can improve revenue generation and profitability, thereby strengthening a bank’s capacity to pay dividends sustainably. This dual dynamic—of short-term investment restraint and long-term value creation—represents a strategic trade-off that future research should examine more closely, perhaps by incorporating digital maturity as </w:t>
      </w:r>
      <w:r>
        <w:lastRenderedPageBreak/>
        <w:t>a moderating or mediating variable in dividend policy models. Moreover, the regulatory landscape in Indonesia is also evolving in response to digital finance, with OJK introducing new guidelines to oversee digital banks and fintech collaboration. These changes may further affect dividend-related decisions, as compliance with new regulations could require additional capital retention. Understanding how banks navigate these dual pressures</w:t>
      </w:r>
      <w:r w:rsidR="005521A2">
        <w:t>-</w:t>
      </w:r>
      <w:r>
        <w:t>regulatory compliance and innovation investment—will be essential for assessing the sustainability of dividend policies in the digital era.</w:t>
      </w:r>
    </w:p>
    <w:p w14:paraId="78AAF1CF" w14:textId="77777777" w:rsidR="005C4E87" w:rsidRDefault="005C4E87" w:rsidP="005C4E87">
      <w:pPr>
        <w:spacing w:line="360" w:lineRule="auto"/>
        <w:jc w:val="both"/>
        <w:rPr>
          <w:rFonts w:asciiTheme="majorBidi" w:hAnsiTheme="majorBidi" w:cstheme="majorBidi"/>
          <w:iCs/>
          <w:sz w:val="24"/>
          <w:szCs w:val="24"/>
        </w:rPr>
      </w:pPr>
    </w:p>
    <w:p w14:paraId="510B8058" w14:textId="46E4894E" w:rsidR="005C4E87" w:rsidRPr="00786FE8" w:rsidRDefault="005521A2" w:rsidP="00291FD0">
      <w:pPr>
        <w:spacing w:line="360" w:lineRule="auto"/>
        <w:rPr>
          <w:rFonts w:asciiTheme="majorBidi" w:hAnsiTheme="majorBidi" w:cstheme="majorBidi"/>
          <w:b/>
          <w:bCs/>
          <w:sz w:val="24"/>
          <w:szCs w:val="24"/>
          <w:lang w:val="en-ID"/>
        </w:rPr>
      </w:pPr>
      <w:r>
        <w:rPr>
          <w:rFonts w:asciiTheme="majorBidi" w:hAnsiTheme="majorBidi" w:cstheme="majorBidi"/>
          <w:b/>
          <w:bCs/>
          <w:sz w:val="24"/>
          <w:szCs w:val="24"/>
          <w:lang w:val="en-ID"/>
        </w:rPr>
        <w:t>REFERENCE</w:t>
      </w:r>
    </w:p>
    <w:p w14:paraId="58936C28" w14:textId="461DA9EA" w:rsidR="0055531E" w:rsidRDefault="005C4E87" w:rsidP="00291FD0">
      <w:pPr>
        <w:pStyle w:val="BodyText"/>
        <w:spacing w:before="34" w:line="276" w:lineRule="auto"/>
        <w:ind w:left="709" w:hanging="709"/>
        <w:jc w:val="both"/>
      </w:pPr>
      <w:r w:rsidRPr="00861476">
        <w:rPr>
          <w:lang w:val="fi-FI"/>
        </w:rPr>
        <w:fldChar w:fldCharType="begin" w:fldLock="1"/>
      </w:r>
      <w:r w:rsidRPr="00861476">
        <w:rPr>
          <w:lang w:val="en-ID"/>
        </w:rPr>
        <w:instrText xml:space="preserve">ADDIN Mendeley Bibliography CSL_BIBLIOGRAPHY </w:instrText>
      </w:r>
      <w:r w:rsidRPr="00861476">
        <w:rPr>
          <w:lang w:val="fi-FI"/>
        </w:rPr>
        <w:fldChar w:fldCharType="separate"/>
      </w:r>
      <w:r w:rsidR="0055531E" w:rsidRPr="0055531E">
        <w:t xml:space="preserve"> </w:t>
      </w:r>
      <w:r w:rsidR="0055531E">
        <w:t xml:space="preserve">Agustino, N. W. I. P., &amp; Dewi, S. K. S. (2019). Pengaruh Ukuran Perusahaan, Profitabilitas, Dan Leverage Terhadap Kebijakan Dividen Pada Perusahaan Manufaktur. </w:t>
      </w:r>
      <w:r w:rsidR="0055531E" w:rsidRPr="005F6558">
        <w:rPr>
          <w:i/>
          <w:iCs/>
        </w:rPr>
        <w:t>E-Jurnal Manajemen Universitas Udayana</w:t>
      </w:r>
      <w:r w:rsidR="0055531E">
        <w:t>, 8(8), 4957. Https://Doi.Org/10.24843/Ejmunud.2019.V08.I08.P09</w:t>
      </w:r>
    </w:p>
    <w:p w14:paraId="2AA923A8" w14:textId="77777777" w:rsidR="0055531E" w:rsidRDefault="0055531E" w:rsidP="00291FD0">
      <w:pPr>
        <w:pStyle w:val="BodyText"/>
        <w:spacing w:before="34" w:line="276" w:lineRule="auto"/>
        <w:ind w:left="709" w:hanging="709"/>
        <w:jc w:val="both"/>
      </w:pPr>
      <w:r>
        <w:t xml:space="preserve">Ardiyanto, R., &amp; Laily, N. (2023). Pengaruh Profitabilitas, Likuiditas, Firm Size, Dan Sales Growth Terhadap Kebijakan Dividen Perusahaan Sektor Energi. </w:t>
      </w:r>
      <w:r w:rsidRPr="005F6558">
        <w:rPr>
          <w:i/>
          <w:iCs/>
        </w:rPr>
        <w:t>Jurnal Ilmu Dan Riset Manajemen (Jirm)</w:t>
      </w:r>
      <w:r>
        <w:t>, 12(11). Http://Jurnalmahasiswa.Stiesia.Ac.Id/Index.Php/Jirm/Article/View/5648</w:t>
      </w:r>
    </w:p>
    <w:p w14:paraId="35C9B7CD" w14:textId="77777777" w:rsidR="0055531E" w:rsidRDefault="0055531E" w:rsidP="00291FD0">
      <w:pPr>
        <w:pStyle w:val="BodyText"/>
        <w:spacing w:before="34" w:line="276" w:lineRule="auto"/>
        <w:ind w:left="709" w:hanging="709"/>
        <w:jc w:val="both"/>
      </w:pPr>
      <w:r w:rsidRPr="00291FD0">
        <w:rPr>
          <w:lang w:val="fi-FI"/>
        </w:rPr>
        <w:t xml:space="preserve">Arimbi, A., Pangaribuan, D., &amp; Yuniati, T. (2024). </w:t>
      </w:r>
      <w:r>
        <w:t xml:space="preserve">Pengaruh Kepemilikan Manajerial, Leverage, Dan Pertumbuhan Laba Terhadap Kebijakan Dividen Pada Perusahaan Sektor Consumer Non-Cyclicals. </w:t>
      </w:r>
      <w:r w:rsidRPr="005F6558">
        <w:rPr>
          <w:i/>
          <w:iCs/>
        </w:rPr>
        <w:t>Sentri: Jurnal Riset Ilmiah</w:t>
      </w:r>
      <w:r>
        <w:t>, 3(2), 885–900. Https://Doi.Org/10.55681/Sentri.V3i2.2334</w:t>
      </w:r>
    </w:p>
    <w:p w14:paraId="169D1029" w14:textId="77777777" w:rsidR="0055531E" w:rsidRDefault="0055531E" w:rsidP="00291FD0">
      <w:pPr>
        <w:pStyle w:val="BodyText"/>
        <w:spacing w:before="34" w:line="276" w:lineRule="auto"/>
        <w:ind w:left="709" w:hanging="709"/>
        <w:jc w:val="both"/>
      </w:pPr>
      <w:r>
        <w:t xml:space="preserve">Bawamenewi, K., &amp; Afriyeni, A. (2019). Pengaruh Profitabilitas, Leverage, Dan Likuiditas Terhadap Kebijakan Dividen Pada Perusahaan Manufaktur Yang Terdaftar Di Bursa Efek Indonesia. </w:t>
      </w:r>
      <w:r w:rsidRPr="005F6558">
        <w:rPr>
          <w:i/>
          <w:iCs/>
        </w:rPr>
        <w:t>Jurnal Pundi</w:t>
      </w:r>
      <w:r>
        <w:t>, 3(1), 27–40. Https://Doi.Org/10.31575/Jp.V3i1.141</w:t>
      </w:r>
    </w:p>
    <w:p w14:paraId="2281C2D2" w14:textId="77777777" w:rsidR="0055531E" w:rsidRDefault="0055531E" w:rsidP="00291FD0">
      <w:pPr>
        <w:pStyle w:val="BodyText"/>
        <w:spacing w:before="34" w:line="276" w:lineRule="auto"/>
        <w:ind w:left="709" w:hanging="709"/>
        <w:jc w:val="both"/>
      </w:pPr>
      <w:r>
        <w:t xml:space="preserve">Bayu Eksan Prastyo, &amp; Kusumawati, Y. T. (2021). Pengaruh Pertumbuhan Laba Dan Leverage Terhadap Kebijakan Dividen Pada Perusahaan Perbankan Di Bursa Efek Indonesia. </w:t>
      </w:r>
      <w:r w:rsidRPr="005F6558">
        <w:rPr>
          <w:i/>
          <w:iCs/>
        </w:rPr>
        <w:t>Borneo Student Research</w:t>
      </w:r>
      <w:r>
        <w:t>, 3(1), 937–943.</w:t>
      </w:r>
    </w:p>
    <w:p w14:paraId="671BC888" w14:textId="77777777" w:rsidR="0055531E" w:rsidRDefault="0055531E" w:rsidP="00291FD0">
      <w:pPr>
        <w:pStyle w:val="BodyText"/>
        <w:spacing w:before="34" w:line="276" w:lineRule="auto"/>
        <w:ind w:left="709" w:hanging="709"/>
        <w:jc w:val="both"/>
      </w:pPr>
      <w:r>
        <w:t xml:space="preserve">Brigham, E. F., &amp; Houston, J. F. (2018). Fundamentals Of Financial Management (Dasar-Dasar Manajemen Keuangan). </w:t>
      </w:r>
      <w:r w:rsidRPr="005F6558">
        <w:rPr>
          <w:i/>
          <w:iCs/>
        </w:rPr>
        <w:t>In Engineering And Process Economics</w:t>
      </w:r>
      <w:r>
        <w:t xml:space="preserve"> (Vol. 3, Issue 3).</w:t>
      </w:r>
    </w:p>
    <w:p w14:paraId="2FE8E5DE" w14:textId="77777777" w:rsidR="0055531E" w:rsidRDefault="0055531E" w:rsidP="00291FD0">
      <w:pPr>
        <w:pStyle w:val="BodyText"/>
        <w:spacing w:before="34" w:line="276" w:lineRule="auto"/>
        <w:ind w:left="709" w:hanging="709"/>
        <w:jc w:val="both"/>
      </w:pPr>
      <w:r>
        <w:t xml:space="preserve">Cahyanti, S. (2018). Pengaruh Rasio Keuangan Dan Pertumbuhan Laba Terhadap Kebijakan Dividen Pada Perusahaan Manufaktur Di Bei. </w:t>
      </w:r>
      <w:r w:rsidRPr="005F6558">
        <w:rPr>
          <w:i/>
          <w:iCs/>
        </w:rPr>
        <w:t>Jurnal Akuntansi</w:t>
      </w:r>
      <w:r>
        <w:t>, 3(3), 739. Https://Doi.Org/10.30736/Jpensi.V3i3.159</w:t>
      </w:r>
    </w:p>
    <w:p w14:paraId="14C75509" w14:textId="77777777" w:rsidR="0055531E" w:rsidRDefault="0055531E" w:rsidP="00291FD0">
      <w:pPr>
        <w:pStyle w:val="BodyText"/>
        <w:spacing w:before="34" w:line="276" w:lineRule="auto"/>
        <w:ind w:left="709" w:hanging="709"/>
        <w:jc w:val="both"/>
      </w:pPr>
      <w:r>
        <w:t xml:space="preserve">Fadah, I., Hasanah, N., Endhiarto, T., &amp; Juniar, A. (2020). Determinants Of The Dividend Payout Policy Of Public Companies In Indonesia, Based On Financial Ratio Analysis. </w:t>
      </w:r>
      <w:r w:rsidRPr="005F6558">
        <w:rPr>
          <w:i/>
          <w:iCs/>
        </w:rPr>
        <w:t>International Journal Of Innovation, Creativity And Change</w:t>
      </w:r>
      <w:r>
        <w:t>, 13(4), 1084–1098.</w:t>
      </w:r>
    </w:p>
    <w:p w14:paraId="3E15F683" w14:textId="77777777" w:rsidR="0055531E" w:rsidRDefault="0055531E" w:rsidP="00291FD0">
      <w:pPr>
        <w:pStyle w:val="BodyText"/>
        <w:spacing w:before="34" w:line="276" w:lineRule="auto"/>
        <w:ind w:left="709" w:hanging="709"/>
        <w:jc w:val="both"/>
      </w:pPr>
      <w:r>
        <w:t xml:space="preserve">Ferli, O., Larasati, P. A., Ardila, A., &amp; Irawan, R. S. (2021). Mengungkap Hubungan Likuiditas Dan Profitabilitas Pada Perbankan Konvensional Di Indonesia. </w:t>
      </w:r>
      <w:r w:rsidRPr="005F6558">
        <w:rPr>
          <w:i/>
          <w:iCs/>
        </w:rPr>
        <w:t>Jurnal Ekonomi, Manajemen Dan Perbankan (Journal Of Economics, Management And Banking)</w:t>
      </w:r>
      <w:r>
        <w:t>, 7(3), 113. Https://Doi.Org/10.35384/Jemp.V7i3.261</w:t>
      </w:r>
    </w:p>
    <w:p w14:paraId="6B9EDAED" w14:textId="0AA5B661" w:rsidR="0055531E" w:rsidRDefault="0055531E" w:rsidP="00291FD0">
      <w:pPr>
        <w:pStyle w:val="BodyText"/>
        <w:spacing w:before="34" w:line="276" w:lineRule="auto"/>
        <w:ind w:left="709" w:hanging="709"/>
        <w:jc w:val="both"/>
      </w:pPr>
      <w:r>
        <w:lastRenderedPageBreak/>
        <w:t xml:space="preserve">Firmansah, A. (2017). </w:t>
      </w:r>
      <w:r w:rsidRPr="00AF68F5">
        <w:rPr>
          <w:lang w:val="fi-FI"/>
        </w:rPr>
        <w:t xml:space="preserve">Pengaruh Ukuran Perusahaan </w:t>
      </w:r>
      <w:r w:rsidR="00AF68F5" w:rsidRPr="00AF68F5">
        <w:rPr>
          <w:lang w:val="fi-FI"/>
        </w:rPr>
        <w:t>d</w:t>
      </w:r>
      <w:r w:rsidRPr="00AF68F5">
        <w:rPr>
          <w:lang w:val="fi-FI"/>
        </w:rPr>
        <w:t xml:space="preserve">an Profitabilitas </w:t>
      </w:r>
      <w:r w:rsidR="00AF68F5">
        <w:rPr>
          <w:lang w:val="fi-FI"/>
        </w:rPr>
        <w:t>t</w:t>
      </w:r>
      <w:r w:rsidRPr="00AF68F5">
        <w:rPr>
          <w:lang w:val="fi-FI"/>
        </w:rPr>
        <w:t xml:space="preserve">erhadap Nilai Perusahaan </w:t>
      </w:r>
      <w:r w:rsidR="00F442BA">
        <w:rPr>
          <w:lang w:val="fi-FI"/>
        </w:rPr>
        <w:t>m</w:t>
      </w:r>
      <w:r w:rsidRPr="00AF68F5">
        <w:rPr>
          <w:lang w:val="fi-FI"/>
        </w:rPr>
        <w:t xml:space="preserve">elalui Kebijakan Dividen. </w:t>
      </w:r>
      <w:r w:rsidRPr="00F442BA">
        <w:rPr>
          <w:i/>
          <w:iCs/>
          <w:lang w:val="fi-FI"/>
        </w:rPr>
        <w:t xml:space="preserve">Jurnal Ilmu </w:t>
      </w:r>
      <w:r w:rsidR="00AF68F5" w:rsidRPr="00F442BA">
        <w:rPr>
          <w:i/>
          <w:iCs/>
          <w:lang w:val="fi-FI"/>
        </w:rPr>
        <w:t>d</w:t>
      </w:r>
      <w:r w:rsidRPr="00F442BA">
        <w:rPr>
          <w:i/>
          <w:iCs/>
          <w:lang w:val="fi-FI"/>
        </w:rPr>
        <w:t xml:space="preserve">an Riset Manajemen, </w:t>
      </w:r>
      <w:r w:rsidRPr="00F442BA">
        <w:rPr>
          <w:lang w:val="fi-FI"/>
        </w:rPr>
        <w:t xml:space="preserve">6(1), 1–18. </w:t>
      </w:r>
      <w:r>
        <w:t>Http://Jurnalmahasiswa.Stiesia.Ac.Id/Index.Php/Jirm/Article/View/630/641</w:t>
      </w:r>
    </w:p>
    <w:p w14:paraId="4841A00C" w14:textId="08EDB7D4" w:rsidR="0055531E" w:rsidRDefault="0055531E" w:rsidP="00291FD0">
      <w:pPr>
        <w:pStyle w:val="BodyText"/>
        <w:spacing w:before="34" w:line="276" w:lineRule="auto"/>
        <w:ind w:left="709" w:hanging="709"/>
        <w:jc w:val="both"/>
      </w:pPr>
      <w:r>
        <w:t xml:space="preserve">Ghozali, I. (2018). </w:t>
      </w:r>
      <w:r w:rsidRPr="005F6558">
        <w:rPr>
          <w:i/>
          <w:iCs/>
        </w:rPr>
        <w:t xml:space="preserve">Aplikasi Analisis Multivariate </w:t>
      </w:r>
      <w:r w:rsidR="00AF68F5">
        <w:rPr>
          <w:i/>
          <w:iCs/>
        </w:rPr>
        <w:t>d</w:t>
      </w:r>
      <w:r w:rsidRPr="005F6558">
        <w:rPr>
          <w:i/>
          <w:iCs/>
        </w:rPr>
        <w:t>engan Program I</w:t>
      </w:r>
      <w:r w:rsidR="00AF68F5">
        <w:rPr>
          <w:i/>
          <w:iCs/>
        </w:rPr>
        <w:t>BM</w:t>
      </w:r>
      <w:r w:rsidRPr="005F6558">
        <w:rPr>
          <w:i/>
          <w:iCs/>
        </w:rPr>
        <w:t xml:space="preserve"> S</w:t>
      </w:r>
      <w:r w:rsidR="00AF68F5">
        <w:rPr>
          <w:i/>
          <w:iCs/>
        </w:rPr>
        <w:t>PSS</w:t>
      </w:r>
      <w:r w:rsidRPr="005F6558">
        <w:rPr>
          <w:i/>
          <w:iCs/>
        </w:rPr>
        <w:t xml:space="preserve"> 25 Edisi Ke-9.</w:t>
      </w:r>
      <w:r>
        <w:t xml:space="preserve"> Http://Slims.Umn.Ac.Id//Index.Php?P=Show_Detail&amp;Id=19545</w:t>
      </w:r>
    </w:p>
    <w:p w14:paraId="18A5C035" w14:textId="3B31A5A7" w:rsidR="0055531E" w:rsidRPr="00291FD0" w:rsidRDefault="0055531E" w:rsidP="00291FD0">
      <w:pPr>
        <w:pStyle w:val="BodyText"/>
        <w:spacing w:before="34" w:line="276" w:lineRule="auto"/>
        <w:ind w:left="709" w:hanging="709"/>
        <w:jc w:val="both"/>
        <w:rPr>
          <w:lang w:val="fi-FI"/>
        </w:rPr>
      </w:pPr>
      <w:r>
        <w:t xml:space="preserve">Hanif, M., &amp; Bustamam. (2017). Influence </w:t>
      </w:r>
      <w:r w:rsidR="00AF68F5">
        <w:t>o</w:t>
      </w:r>
      <w:r>
        <w:t xml:space="preserve">f Debt </w:t>
      </w:r>
      <w:r w:rsidR="00AF68F5">
        <w:t>t</w:t>
      </w:r>
      <w:r>
        <w:t xml:space="preserve">o Equity Ratio, Return </w:t>
      </w:r>
      <w:r w:rsidR="00AF68F5">
        <w:t>o</w:t>
      </w:r>
      <w:r>
        <w:t xml:space="preserve">n Asset, Firm Size, </w:t>
      </w:r>
      <w:r w:rsidR="00AF68F5">
        <w:t>a</w:t>
      </w:r>
      <w:r>
        <w:t>nd Earning Pe</w:t>
      </w:r>
      <w:r w:rsidR="00AF68F5">
        <w:t>r</w:t>
      </w:r>
      <w:r>
        <w:t xml:space="preserve"> Share Against Dividend Payout Ratio (Study </w:t>
      </w:r>
      <w:r w:rsidR="00AF68F5">
        <w:t>o</w:t>
      </w:r>
      <w:r>
        <w:t xml:space="preserve">n Manufacturing Companies Listed </w:t>
      </w:r>
      <w:r w:rsidR="00AF68F5">
        <w:t>o</w:t>
      </w:r>
      <w:r>
        <w:t xml:space="preserve">n The Indonesia Stock Exchange 2011-2015). </w:t>
      </w:r>
      <w:r w:rsidRPr="005F6558">
        <w:rPr>
          <w:i/>
          <w:iCs/>
          <w:lang w:val="fi-FI"/>
        </w:rPr>
        <w:t>Jurnal Ilmiah Mahasiswa Ekonomi Akuntansi (Jimeka)</w:t>
      </w:r>
      <w:r w:rsidRPr="00291FD0">
        <w:rPr>
          <w:lang w:val="fi-FI"/>
        </w:rPr>
        <w:t>, 2(1), 1.</w:t>
      </w:r>
    </w:p>
    <w:p w14:paraId="29CB6E8C" w14:textId="118F2FCA" w:rsidR="0055531E" w:rsidRDefault="0055531E" w:rsidP="00291FD0">
      <w:pPr>
        <w:pStyle w:val="BodyText"/>
        <w:spacing w:before="34" w:line="276" w:lineRule="auto"/>
        <w:ind w:left="709" w:hanging="709"/>
        <w:jc w:val="both"/>
      </w:pPr>
      <w:r w:rsidRPr="00291FD0">
        <w:rPr>
          <w:lang w:val="fi-FI"/>
        </w:rPr>
        <w:t xml:space="preserve">Ihsaniah, R. D., Adam, M., &amp; * Y. (2020). Pengaruh Profitabilitas, Likuiditas, Firm Size </w:t>
      </w:r>
      <w:r w:rsidR="00AF68F5">
        <w:rPr>
          <w:lang w:val="fi-FI"/>
        </w:rPr>
        <w:t>d</w:t>
      </w:r>
      <w:r w:rsidRPr="00291FD0">
        <w:rPr>
          <w:lang w:val="fi-FI"/>
        </w:rPr>
        <w:t xml:space="preserve">an Solvabilitas </w:t>
      </w:r>
      <w:r w:rsidR="00AF68F5">
        <w:rPr>
          <w:lang w:val="fi-FI"/>
        </w:rPr>
        <w:t>t</w:t>
      </w:r>
      <w:r w:rsidRPr="00291FD0">
        <w:rPr>
          <w:lang w:val="fi-FI"/>
        </w:rPr>
        <w:t xml:space="preserve">erhadap Kebijakan Dividen </w:t>
      </w:r>
      <w:r w:rsidR="00AF68F5">
        <w:rPr>
          <w:lang w:val="fi-FI"/>
        </w:rPr>
        <w:t>p</w:t>
      </w:r>
      <w:r w:rsidRPr="00291FD0">
        <w:rPr>
          <w:lang w:val="fi-FI"/>
        </w:rPr>
        <w:t xml:space="preserve">ada Perusahaan Sektor Industri Barang Konsumsi </w:t>
      </w:r>
      <w:r w:rsidR="00AF68F5">
        <w:rPr>
          <w:lang w:val="fi-FI"/>
        </w:rPr>
        <w:t>y</w:t>
      </w:r>
      <w:r w:rsidRPr="00291FD0">
        <w:rPr>
          <w:lang w:val="fi-FI"/>
        </w:rPr>
        <w:t xml:space="preserve">ang Terdaftar </w:t>
      </w:r>
      <w:r w:rsidR="00AF68F5">
        <w:rPr>
          <w:lang w:val="fi-FI"/>
        </w:rPr>
        <w:t>d</w:t>
      </w:r>
      <w:r w:rsidRPr="00291FD0">
        <w:rPr>
          <w:lang w:val="fi-FI"/>
        </w:rPr>
        <w:t xml:space="preserve">i Bursa Efek Indonesia. </w:t>
      </w:r>
      <w:r w:rsidRPr="005F6558">
        <w:rPr>
          <w:i/>
          <w:iCs/>
        </w:rPr>
        <w:t xml:space="preserve">Jurnal Manajemen </w:t>
      </w:r>
      <w:r w:rsidR="00AF68F5">
        <w:rPr>
          <w:i/>
          <w:iCs/>
        </w:rPr>
        <w:t>d</w:t>
      </w:r>
      <w:r w:rsidRPr="005F6558">
        <w:rPr>
          <w:i/>
          <w:iCs/>
        </w:rPr>
        <w:t>an Bisnis Equilibrium</w:t>
      </w:r>
      <w:r>
        <w:t>, 6(1), 60–86. Https://Doi.Org/10.47329/Jurnal_Mbe.V6i1.411</w:t>
      </w:r>
    </w:p>
    <w:p w14:paraId="7C5CBAA9" w14:textId="0E573406" w:rsidR="0055531E" w:rsidRDefault="0055531E" w:rsidP="00291FD0">
      <w:pPr>
        <w:pStyle w:val="BodyText"/>
        <w:spacing w:before="34" w:line="276" w:lineRule="auto"/>
        <w:ind w:left="709" w:hanging="709"/>
        <w:jc w:val="both"/>
      </w:pPr>
      <w:r>
        <w:t xml:space="preserve">Kartika, A. V., Topowijono, &amp; Endang, M. (2015). Pengaruh Return </w:t>
      </w:r>
      <w:r w:rsidR="00AF68F5">
        <w:t>o</w:t>
      </w:r>
      <w:r>
        <w:t xml:space="preserve">n Assets, Return </w:t>
      </w:r>
      <w:r w:rsidR="00AF68F5">
        <w:t>o</w:t>
      </w:r>
      <w:r>
        <w:t xml:space="preserve">n Equity </w:t>
      </w:r>
      <w:r w:rsidR="00AF68F5">
        <w:t>d</w:t>
      </w:r>
      <w:r>
        <w:t xml:space="preserve">an Assets Growth </w:t>
      </w:r>
      <w:r w:rsidR="00AF68F5">
        <w:t>t</w:t>
      </w:r>
      <w:r>
        <w:t xml:space="preserve">erhadap Dividend Payout Ratio (Studi </w:t>
      </w:r>
      <w:r w:rsidR="00AF68F5">
        <w:t>p</w:t>
      </w:r>
      <w:r>
        <w:t xml:space="preserve">ada Perusahaan Manufaktur </w:t>
      </w:r>
      <w:r w:rsidR="00AF68F5">
        <w:t>y</w:t>
      </w:r>
      <w:r>
        <w:t xml:space="preserve">ang Terdaftar </w:t>
      </w:r>
      <w:r w:rsidR="00AF68F5">
        <w:t>d</w:t>
      </w:r>
      <w:r>
        <w:t xml:space="preserve">i Bursa Efek Indonesia Periode 2010-2012). </w:t>
      </w:r>
      <w:r w:rsidRPr="005F6558">
        <w:rPr>
          <w:i/>
          <w:iCs/>
        </w:rPr>
        <w:t>Jurnal Administrasi Bisnis (Jab)</w:t>
      </w:r>
      <w:r>
        <w:t>, 1(2).</w:t>
      </w:r>
    </w:p>
    <w:p w14:paraId="0C71E261" w14:textId="7B36FC0B" w:rsidR="0055531E" w:rsidRPr="00AF68F5" w:rsidRDefault="0055531E" w:rsidP="00291FD0">
      <w:pPr>
        <w:pStyle w:val="BodyText"/>
        <w:spacing w:before="34" w:line="276" w:lineRule="auto"/>
        <w:ind w:left="709" w:hanging="709"/>
        <w:jc w:val="both"/>
        <w:rPr>
          <w:lang w:val="en-ID"/>
        </w:rPr>
      </w:pPr>
      <w:r>
        <w:t xml:space="preserve">Krisardiyansah, &amp; Amanah, L. (2020). Pengaruh Free Cash Flow, Profitabilitas, Likuiditas </w:t>
      </w:r>
      <w:r w:rsidR="005F6558">
        <w:t>d</w:t>
      </w:r>
      <w:r>
        <w:t xml:space="preserve">an Leverage </w:t>
      </w:r>
      <w:r w:rsidR="00AF68F5">
        <w:t>t</w:t>
      </w:r>
      <w:r>
        <w:t xml:space="preserve">erhadap Kebijakan Dividen. </w:t>
      </w:r>
      <w:r w:rsidRPr="00AF68F5">
        <w:rPr>
          <w:i/>
          <w:iCs/>
          <w:lang w:val="en-ID"/>
        </w:rPr>
        <w:t xml:space="preserve">Jurnal Ilmu </w:t>
      </w:r>
      <w:r w:rsidR="00AF68F5" w:rsidRPr="00AF68F5">
        <w:rPr>
          <w:i/>
          <w:iCs/>
          <w:lang w:val="en-ID"/>
        </w:rPr>
        <w:t>d</w:t>
      </w:r>
      <w:r w:rsidRPr="00AF68F5">
        <w:rPr>
          <w:i/>
          <w:iCs/>
          <w:lang w:val="en-ID"/>
        </w:rPr>
        <w:t>an Riset Akuntansi</w:t>
      </w:r>
      <w:r w:rsidRPr="00AF68F5">
        <w:rPr>
          <w:lang w:val="en-ID"/>
        </w:rPr>
        <w:t>.</w:t>
      </w:r>
    </w:p>
    <w:p w14:paraId="080655D2" w14:textId="0ADFAF79" w:rsidR="0055531E" w:rsidRPr="00291FD0" w:rsidRDefault="0055531E" w:rsidP="00291FD0">
      <w:pPr>
        <w:pStyle w:val="BodyText"/>
        <w:spacing w:before="34" w:line="276" w:lineRule="auto"/>
        <w:ind w:left="709" w:hanging="709"/>
        <w:jc w:val="both"/>
        <w:rPr>
          <w:lang w:val="fi-FI"/>
        </w:rPr>
      </w:pPr>
      <w:r w:rsidRPr="00291FD0">
        <w:rPr>
          <w:lang w:val="fi-FI"/>
        </w:rPr>
        <w:t xml:space="preserve">Nabela, E. F., &amp; Dini Widyawati. (2022). Pengaruh Rasio Keuangan Terhadap Kebijakan Dividen Pada Perusahaan Manufaktur </w:t>
      </w:r>
      <w:r w:rsidR="00AF68F5">
        <w:rPr>
          <w:lang w:val="fi-FI"/>
        </w:rPr>
        <w:t>y</w:t>
      </w:r>
      <w:r w:rsidRPr="00291FD0">
        <w:rPr>
          <w:lang w:val="fi-FI"/>
        </w:rPr>
        <w:t xml:space="preserve">ang Terdaftar </w:t>
      </w:r>
      <w:r w:rsidR="00AF68F5">
        <w:rPr>
          <w:lang w:val="fi-FI"/>
        </w:rPr>
        <w:t>d</w:t>
      </w:r>
      <w:r w:rsidRPr="00291FD0">
        <w:rPr>
          <w:lang w:val="fi-FI"/>
        </w:rPr>
        <w:t>i B</w:t>
      </w:r>
      <w:r w:rsidR="00AF68F5">
        <w:rPr>
          <w:lang w:val="fi-FI"/>
        </w:rPr>
        <w:t>EI</w:t>
      </w:r>
      <w:r w:rsidRPr="00291FD0">
        <w:rPr>
          <w:lang w:val="fi-FI"/>
        </w:rPr>
        <w:t xml:space="preserve">. </w:t>
      </w:r>
      <w:r w:rsidRPr="005F6558">
        <w:rPr>
          <w:i/>
          <w:iCs/>
          <w:lang w:val="fi-FI"/>
        </w:rPr>
        <w:t xml:space="preserve">Jurnal Ilmu </w:t>
      </w:r>
      <w:r w:rsidR="00AF68F5">
        <w:rPr>
          <w:i/>
          <w:iCs/>
          <w:lang w:val="fi-FI"/>
        </w:rPr>
        <w:t>d</w:t>
      </w:r>
      <w:r w:rsidRPr="005F6558">
        <w:rPr>
          <w:i/>
          <w:iCs/>
          <w:lang w:val="fi-FI"/>
        </w:rPr>
        <w:t>an Riset Akutansi Jira</w:t>
      </w:r>
      <w:r w:rsidRPr="00291FD0">
        <w:rPr>
          <w:lang w:val="fi-FI"/>
        </w:rPr>
        <w:t>, 11(2), 1–20.</w:t>
      </w:r>
    </w:p>
    <w:p w14:paraId="7616FDB4" w14:textId="25190A9A" w:rsidR="0055531E" w:rsidRDefault="0055531E" w:rsidP="00291FD0">
      <w:pPr>
        <w:pStyle w:val="BodyText"/>
        <w:spacing w:before="34" w:line="276" w:lineRule="auto"/>
        <w:ind w:left="709" w:hanging="709"/>
        <w:jc w:val="both"/>
      </w:pPr>
      <w:r w:rsidRPr="00291FD0">
        <w:rPr>
          <w:lang w:val="fi-FI"/>
        </w:rPr>
        <w:t xml:space="preserve">Noefiansyah, D., &amp; Idayati, F. (2019). </w:t>
      </w:r>
      <w:r>
        <w:t xml:space="preserve">Pengaruh Profitabilitas, Firm Size, Likuiditas </w:t>
      </w:r>
      <w:r w:rsidR="005F6558">
        <w:t>d</w:t>
      </w:r>
      <w:r>
        <w:t xml:space="preserve">an Leverage </w:t>
      </w:r>
      <w:r w:rsidR="005F6558">
        <w:t>t</w:t>
      </w:r>
      <w:r>
        <w:t xml:space="preserve">erhadap Kebijakan Dividen </w:t>
      </w:r>
      <w:r w:rsidR="005F6558">
        <w:t>d</w:t>
      </w:r>
      <w:r>
        <w:t>i B</w:t>
      </w:r>
      <w:r w:rsidR="005F6558">
        <w:t>EI</w:t>
      </w:r>
      <w:r>
        <w:t xml:space="preserve">. </w:t>
      </w:r>
      <w:r w:rsidRPr="005F6558">
        <w:rPr>
          <w:i/>
          <w:iCs/>
        </w:rPr>
        <w:t>E-Jurnal Manajemen Universitas Udayana</w:t>
      </w:r>
      <w:r>
        <w:t>, 3(8), 247455. Https://Doi.Org/10.24912/Jpa.V5i3.25255</w:t>
      </w:r>
    </w:p>
    <w:p w14:paraId="6B0FC6DE" w14:textId="5B81D7B5" w:rsidR="0055531E" w:rsidRPr="00291FD0" w:rsidRDefault="0055531E" w:rsidP="00291FD0">
      <w:pPr>
        <w:pStyle w:val="BodyText"/>
        <w:spacing w:before="34" w:line="276" w:lineRule="auto"/>
        <w:ind w:left="709" w:hanging="709"/>
        <w:jc w:val="both"/>
        <w:rPr>
          <w:lang w:val="fi-FI"/>
        </w:rPr>
      </w:pPr>
      <w:r w:rsidRPr="00291FD0">
        <w:rPr>
          <w:lang w:val="fi-FI"/>
        </w:rPr>
        <w:t xml:space="preserve">Novianti, Z. E. W., &amp; Amanah, L. (2017). </w:t>
      </w:r>
      <w:r>
        <w:t xml:space="preserve">Pengaruh Profitabilitas, Growth, Kebijakan Hutang </w:t>
      </w:r>
      <w:r w:rsidR="00AF68F5">
        <w:t>d</w:t>
      </w:r>
      <w:r>
        <w:t xml:space="preserve">an Kepemilikan Institusional </w:t>
      </w:r>
      <w:r w:rsidR="00AF68F5">
        <w:t>t</w:t>
      </w:r>
      <w:r>
        <w:t xml:space="preserve">erhadap Kebijakan Dividen. </w:t>
      </w:r>
      <w:r w:rsidRPr="005F6558">
        <w:rPr>
          <w:i/>
          <w:iCs/>
          <w:lang w:val="fi-FI"/>
        </w:rPr>
        <w:t xml:space="preserve">Jurnal Ilmu </w:t>
      </w:r>
      <w:r w:rsidR="00AF68F5">
        <w:rPr>
          <w:i/>
          <w:iCs/>
          <w:lang w:val="fi-FI"/>
        </w:rPr>
        <w:t>d</w:t>
      </w:r>
      <w:r w:rsidRPr="005F6558">
        <w:rPr>
          <w:i/>
          <w:iCs/>
          <w:lang w:val="fi-FI"/>
        </w:rPr>
        <w:t>an Riset Akuntansi</w:t>
      </w:r>
      <w:r w:rsidRPr="00291FD0">
        <w:rPr>
          <w:lang w:val="fi-FI"/>
        </w:rPr>
        <w:t>, 6(9), 1–15. Www.Idx.Co.Id</w:t>
      </w:r>
    </w:p>
    <w:p w14:paraId="574D22D1" w14:textId="607211E9" w:rsidR="0055531E" w:rsidRPr="00291FD0" w:rsidRDefault="0055531E" w:rsidP="00291FD0">
      <w:pPr>
        <w:pStyle w:val="BodyText"/>
        <w:spacing w:before="34" w:line="276" w:lineRule="auto"/>
        <w:ind w:left="709" w:hanging="709"/>
        <w:jc w:val="both"/>
        <w:rPr>
          <w:lang w:val="fi-FI"/>
        </w:rPr>
      </w:pPr>
      <w:r w:rsidRPr="00291FD0">
        <w:rPr>
          <w:lang w:val="fi-FI"/>
        </w:rPr>
        <w:t xml:space="preserve">Nugraha, R., Kusno, H. S., &amp; Finanto, H. (2021). </w:t>
      </w:r>
      <w:r>
        <w:t xml:space="preserve">Pengaruh Debt </w:t>
      </w:r>
      <w:r w:rsidR="00AF68F5">
        <w:t>t</w:t>
      </w:r>
      <w:r>
        <w:t>o Equity (D</w:t>
      </w:r>
      <w:r w:rsidR="005F6558">
        <w:t>ER</w:t>
      </w:r>
      <w:r>
        <w:t xml:space="preserve">), Return </w:t>
      </w:r>
      <w:r w:rsidR="00AF68F5">
        <w:t>o</w:t>
      </w:r>
      <w:r>
        <w:t>n Equity (R</w:t>
      </w:r>
      <w:r w:rsidR="005F6558">
        <w:t>OE</w:t>
      </w:r>
      <w:r>
        <w:t xml:space="preserve">), </w:t>
      </w:r>
      <w:r w:rsidR="005F6558">
        <w:t>d</w:t>
      </w:r>
      <w:r>
        <w:t>an Net Profit Margin (N</w:t>
      </w:r>
      <w:r w:rsidR="005F6558">
        <w:t>PM</w:t>
      </w:r>
      <w:r>
        <w:t xml:space="preserve">) </w:t>
      </w:r>
      <w:r w:rsidR="005F6558">
        <w:t>t</w:t>
      </w:r>
      <w:r>
        <w:t xml:space="preserve">erhadap Kebijakan Dividen (Studi Kasus </w:t>
      </w:r>
      <w:r w:rsidR="005F6558">
        <w:t>p</w:t>
      </w:r>
      <w:r>
        <w:t xml:space="preserve">ada Bank Konvensional </w:t>
      </w:r>
      <w:r w:rsidR="005F6558">
        <w:t>y</w:t>
      </w:r>
      <w:r>
        <w:t xml:space="preserve">ang Terdaftar </w:t>
      </w:r>
      <w:r w:rsidR="005F6558">
        <w:t>d</w:t>
      </w:r>
      <w:r>
        <w:t xml:space="preserve">i Bursa Efek Indonesia Periode 2015-2020). </w:t>
      </w:r>
      <w:r w:rsidRPr="005F6558">
        <w:rPr>
          <w:i/>
          <w:iCs/>
          <w:lang w:val="fi-FI"/>
        </w:rPr>
        <w:t>Seminar Nasional Inovasi Teknologi Terapan Politeknik Negeri Balikpapan</w:t>
      </w:r>
      <w:r w:rsidRPr="00291FD0">
        <w:rPr>
          <w:lang w:val="fi-FI"/>
        </w:rPr>
        <w:t>, 73–84.</w:t>
      </w:r>
    </w:p>
    <w:p w14:paraId="453D829E" w14:textId="078886F3" w:rsidR="0055531E" w:rsidRDefault="0055531E" w:rsidP="00291FD0">
      <w:pPr>
        <w:pStyle w:val="BodyText"/>
        <w:spacing w:before="34" w:line="276" w:lineRule="auto"/>
        <w:ind w:left="709" w:hanging="709"/>
        <w:jc w:val="both"/>
      </w:pPr>
      <w:r w:rsidRPr="00291FD0">
        <w:rPr>
          <w:lang w:val="fi-FI"/>
        </w:rPr>
        <w:t xml:space="preserve">Prabowo, M. A. D., &amp; Alverina, C. (2020). </w:t>
      </w:r>
      <w:r>
        <w:t xml:space="preserve">Pengaruh Current Ratio, Debt </w:t>
      </w:r>
      <w:r w:rsidR="00AF68F5">
        <w:t>t</w:t>
      </w:r>
      <w:r>
        <w:t xml:space="preserve">o Equity Ratio, Return </w:t>
      </w:r>
      <w:r w:rsidR="00AF68F5">
        <w:t>o</w:t>
      </w:r>
      <w:r>
        <w:t xml:space="preserve">n Assets, Growth </w:t>
      </w:r>
      <w:r w:rsidR="00AF68F5">
        <w:t>d</w:t>
      </w:r>
      <w:r>
        <w:t xml:space="preserve">an Firm Size </w:t>
      </w:r>
      <w:r w:rsidR="005F6558">
        <w:t>t</w:t>
      </w:r>
      <w:r>
        <w:t xml:space="preserve">erhadap Kebijakan Dividen: Studi </w:t>
      </w:r>
      <w:r w:rsidR="005F6558">
        <w:t>p</w:t>
      </w:r>
      <w:r>
        <w:t xml:space="preserve">ada Perusahaan </w:t>
      </w:r>
      <w:r w:rsidR="005F6558">
        <w:t>y</w:t>
      </w:r>
      <w:r>
        <w:t xml:space="preserve">ang Tercatat Aktif </w:t>
      </w:r>
      <w:r w:rsidR="005F6558">
        <w:t>d</w:t>
      </w:r>
      <w:r>
        <w:t>i B</w:t>
      </w:r>
      <w:r w:rsidR="005F6558">
        <w:t>EI</w:t>
      </w:r>
      <w:r>
        <w:t xml:space="preserve"> </w:t>
      </w:r>
      <w:r w:rsidR="005F6558">
        <w:t>y</w:t>
      </w:r>
      <w:r>
        <w:t xml:space="preserve">ang Membagikan Dividen Periode 2012-2015. </w:t>
      </w:r>
      <w:r w:rsidRPr="005F6558">
        <w:rPr>
          <w:i/>
          <w:iCs/>
        </w:rPr>
        <w:t>Jurnal Akuntansi Maranatha</w:t>
      </w:r>
      <w:r>
        <w:t>, 12(1), 84–98. Https://Doi.Org/10.28932/Jam.V12i1.2290</w:t>
      </w:r>
    </w:p>
    <w:p w14:paraId="63C8C74E" w14:textId="5E1813B9" w:rsidR="0055531E" w:rsidRDefault="0055531E" w:rsidP="00291FD0">
      <w:pPr>
        <w:pStyle w:val="BodyText"/>
        <w:spacing w:before="34" w:line="276" w:lineRule="auto"/>
        <w:ind w:left="709" w:hanging="709"/>
        <w:jc w:val="both"/>
      </w:pPr>
      <w:r>
        <w:t xml:space="preserve">Puspitaningtyas, Z. (2019). Assessment Of Financial Performance </w:t>
      </w:r>
      <w:r w:rsidR="001D2B7B">
        <w:t>a</w:t>
      </w:r>
      <w:r>
        <w:t xml:space="preserve">nd The Effect </w:t>
      </w:r>
      <w:r w:rsidR="001D2B7B">
        <w:t>o</w:t>
      </w:r>
      <w:r>
        <w:t xml:space="preserve">n Dividend Policy </w:t>
      </w:r>
      <w:r w:rsidR="001D2B7B">
        <w:t>o</w:t>
      </w:r>
      <w:r>
        <w:t xml:space="preserve">f The Banking Companies Listed </w:t>
      </w:r>
      <w:r w:rsidR="001D2B7B">
        <w:t>o</w:t>
      </w:r>
      <w:r>
        <w:t xml:space="preserve">n The Indonesia Stock Exchange. </w:t>
      </w:r>
      <w:r w:rsidRPr="001D2B7B">
        <w:rPr>
          <w:i/>
          <w:iCs/>
        </w:rPr>
        <w:t xml:space="preserve">Banks </w:t>
      </w:r>
      <w:r w:rsidR="001D2B7B">
        <w:rPr>
          <w:i/>
          <w:iCs/>
        </w:rPr>
        <w:t>a</w:t>
      </w:r>
      <w:r w:rsidRPr="001D2B7B">
        <w:rPr>
          <w:i/>
          <w:iCs/>
        </w:rPr>
        <w:t>nd Bank Systems</w:t>
      </w:r>
      <w:r>
        <w:t>, 14(2), 24–39. Https://Doi.Org/10.21511/Bbs.14(2).2019.03</w:t>
      </w:r>
    </w:p>
    <w:p w14:paraId="2892E85C" w14:textId="3614796A" w:rsidR="0055531E" w:rsidRDefault="0055531E" w:rsidP="00291FD0">
      <w:pPr>
        <w:pStyle w:val="BodyText"/>
        <w:spacing w:before="34" w:line="276" w:lineRule="auto"/>
        <w:ind w:left="709" w:hanging="709"/>
        <w:jc w:val="both"/>
      </w:pPr>
      <w:r>
        <w:t xml:space="preserve">Sari, K. A. N., &amp; Sudjarni, L. K. (2015). Pengaruh Likuiditas, Leverage, Pertumbuhan Perusahaan, </w:t>
      </w:r>
      <w:r w:rsidR="001D2B7B">
        <w:t>d</w:t>
      </w:r>
      <w:r>
        <w:t xml:space="preserve">an Profitabilitas </w:t>
      </w:r>
      <w:r w:rsidR="001D2B7B">
        <w:t>t</w:t>
      </w:r>
      <w:r>
        <w:t xml:space="preserve">erhadap Kebijakan Dividen </w:t>
      </w:r>
      <w:r w:rsidR="005F6558">
        <w:t>p</w:t>
      </w:r>
      <w:r>
        <w:t xml:space="preserve">ada Perusahaan </w:t>
      </w:r>
      <w:r>
        <w:lastRenderedPageBreak/>
        <w:t xml:space="preserve">Manufaktur </w:t>
      </w:r>
      <w:r w:rsidR="001D2B7B">
        <w:t>d</w:t>
      </w:r>
      <w:r>
        <w:t>i B</w:t>
      </w:r>
      <w:r w:rsidR="001D2B7B">
        <w:t>EI</w:t>
      </w:r>
      <w:r>
        <w:t xml:space="preserve">. </w:t>
      </w:r>
      <w:r w:rsidRPr="001D2B7B">
        <w:rPr>
          <w:i/>
          <w:iCs/>
        </w:rPr>
        <w:t>E-Jurnal Manajemen</w:t>
      </w:r>
      <w:r>
        <w:t>, 4(10), 3346–3374.</w:t>
      </w:r>
    </w:p>
    <w:p w14:paraId="26E8CFEA" w14:textId="2536AC4C" w:rsidR="0055531E" w:rsidRDefault="0055531E" w:rsidP="00291FD0">
      <w:pPr>
        <w:pStyle w:val="BodyText"/>
        <w:spacing w:before="34" w:line="276" w:lineRule="auto"/>
        <w:ind w:left="709" w:hanging="709"/>
        <w:jc w:val="both"/>
      </w:pPr>
      <w:r w:rsidRPr="00291FD0">
        <w:rPr>
          <w:lang w:val="fi-FI"/>
        </w:rPr>
        <w:t xml:space="preserve">Sari, Y., Masnila, N., Widyastuti, E., &amp; Wahyudi, R. (2019). Analisis Komparasi Atas Kinerja </w:t>
      </w:r>
      <w:r w:rsidR="005F6558">
        <w:rPr>
          <w:lang w:val="fi-FI"/>
        </w:rPr>
        <w:t>d</w:t>
      </w:r>
      <w:r w:rsidRPr="00291FD0">
        <w:rPr>
          <w:lang w:val="fi-FI"/>
        </w:rPr>
        <w:t xml:space="preserve">an Keuangan Badan Layanan Umum Bidang Penyediaan Jasa Pendidikan. </w:t>
      </w:r>
      <w:r w:rsidRPr="005F6558">
        <w:rPr>
          <w:i/>
          <w:iCs/>
        </w:rPr>
        <w:t>Journal Of Applied Business Administration</w:t>
      </w:r>
      <w:r>
        <w:t>, 3(2), 271–280. Https://Doi.Org/10.30871/Jaba.V3i2.1728</w:t>
      </w:r>
    </w:p>
    <w:p w14:paraId="4C7D0A37" w14:textId="27747984" w:rsidR="0055531E" w:rsidRDefault="0055531E" w:rsidP="00291FD0">
      <w:pPr>
        <w:pStyle w:val="BodyText"/>
        <w:spacing w:before="34" w:line="276" w:lineRule="auto"/>
        <w:ind w:left="709" w:hanging="709"/>
        <w:jc w:val="both"/>
      </w:pPr>
      <w:r>
        <w:t xml:space="preserve">Sejati, F. R., Ponto, S., Prasetianingrum, S., Sumartono, S., &amp; Sumbari, N. N. (2020). Faktor-Faktor </w:t>
      </w:r>
      <w:r w:rsidR="001D2B7B">
        <w:t>y</w:t>
      </w:r>
      <w:r>
        <w:t xml:space="preserve">ang Mempengaruhi Kebijakan Dividen. </w:t>
      </w:r>
      <w:r w:rsidRPr="005F6558">
        <w:rPr>
          <w:i/>
          <w:iCs/>
        </w:rPr>
        <w:t xml:space="preserve">Berkala Akuntansi </w:t>
      </w:r>
      <w:r w:rsidR="001D2B7B">
        <w:rPr>
          <w:i/>
          <w:iCs/>
        </w:rPr>
        <w:t>d</w:t>
      </w:r>
      <w:r w:rsidRPr="005F6558">
        <w:rPr>
          <w:i/>
          <w:iCs/>
        </w:rPr>
        <w:t>an Keuangan Indonesia</w:t>
      </w:r>
      <w:r>
        <w:t>, 5(2), 110. Https://Doi.Org/10.20473/Baki.V5i2.21480</w:t>
      </w:r>
    </w:p>
    <w:p w14:paraId="73FDC162" w14:textId="3CBC1701" w:rsidR="0055531E" w:rsidRDefault="0055531E" w:rsidP="00291FD0">
      <w:pPr>
        <w:pStyle w:val="BodyText"/>
        <w:spacing w:before="34" w:line="276" w:lineRule="auto"/>
        <w:ind w:left="709" w:hanging="709"/>
        <w:jc w:val="both"/>
      </w:pPr>
      <w:r>
        <w:t xml:space="preserve">Shaleh, W., Margyanita, V. A., Sukarno, Z., &amp; Themba, O. S. (2023). Pengaruh Return </w:t>
      </w:r>
      <w:r w:rsidR="001D2B7B">
        <w:t>o</w:t>
      </w:r>
      <w:r>
        <w:t xml:space="preserve">n Asset </w:t>
      </w:r>
      <w:r w:rsidR="001D2B7B">
        <w:t>d</w:t>
      </w:r>
      <w:r>
        <w:t xml:space="preserve">an Debt </w:t>
      </w:r>
      <w:r w:rsidR="001D2B7B">
        <w:t>t</w:t>
      </w:r>
      <w:r>
        <w:t xml:space="preserve">o Equity Ratio </w:t>
      </w:r>
      <w:r w:rsidR="001D2B7B">
        <w:t>t</w:t>
      </w:r>
      <w:r>
        <w:t xml:space="preserve">erhadap Kebijakan Dividen </w:t>
      </w:r>
      <w:r w:rsidR="001D2B7B">
        <w:t>p</w:t>
      </w:r>
      <w:r>
        <w:t>ada P</w:t>
      </w:r>
      <w:r w:rsidR="001D2B7B">
        <w:t>T</w:t>
      </w:r>
      <w:r>
        <w:t xml:space="preserve">. Indocement Tunggal Prakarsa, Tbk. </w:t>
      </w:r>
      <w:r w:rsidRPr="005F6558">
        <w:rPr>
          <w:i/>
          <w:iCs/>
        </w:rPr>
        <w:t>Jurnal Manajemen Keuangan Stiem Bongaya</w:t>
      </w:r>
      <w:r>
        <w:t>, 2019, 159–169.</w:t>
      </w:r>
    </w:p>
    <w:p w14:paraId="68F0D1E6" w14:textId="4973D7EE" w:rsidR="0055531E" w:rsidRDefault="0055531E" w:rsidP="00291FD0">
      <w:pPr>
        <w:pStyle w:val="BodyText"/>
        <w:spacing w:before="34" w:line="276" w:lineRule="auto"/>
        <w:ind w:left="709" w:hanging="709"/>
        <w:jc w:val="both"/>
      </w:pPr>
      <w:r>
        <w:t xml:space="preserve">Tridara, B. N., Kusmayadi, I., Negara, I. K., Ekonomi, F., &amp; Mataram, U. (2024). Pengaruh Profitabilitas, Likuiditas </w:t>
      </w:r>
      <w:r w:rsidR="001D2B7B">
        <w:t>d</w:t>
      </w:r>
      <w:r>
        <w:t xml:space="preserve">an Leverage </w:t>
      </w:r>
      <w:r w:rsidR="001D2B7B">
        <w:t>t</w:t>
      </w:r>
      <w:r>
        <w:t xml:space="preserve">erhadap Kebijakan Dividen </w:t>
      </w:r>
      <w:r w:rsidR="001D2B7B">
        <w:t>p</w:t>
      </w:r>
      <w:r>
        <w:t xml:space="preserve">ada Perusahaan Manufaktur Sub Sektor Makanan </w:t>
      </w:r>
      <w:r w:rsidR="001D2B7B">
        <w:t>d</w:t>
      </w:r>
      <w:r>
        <w:t xml:space="preserve">an Minuman </w:t>
      </w:r>
      <w:r w:rsidR="001D2B7B">
        <w:t>y</w:t>
      </w:r>
      <w:r>
        <w:t xml:space="preserve">ang Terdaftar </w:t>
      </w:r>
      <w:r w:rsidR="001D2B7B">
        <w:t>d</w:t>
      </w:r>
      <w:r>
        <w:t>i Bursa Efek Indonesia Periode 2015-2021. 4(1), 23–47.</w:t>
      </w:r>
    </w:p>
    <w:p w14:paraId="79B143C9" w14:textId="3F501311" w:rsidR="0055531E" w:rsidRPr="00291FD0" w:rsidRDefault="0055531E" w:rsidP="00291FD0">
      <w:pPr>
        <w:pStyle w:val="BodyText"/>
        <w:spacing w:before="34" w:line="276" w:lineRule="auto"/>
        <w:ind w:left="709" w:hanging="709"/>
        <w:jc w:val="both"/>
        <w:rPr>
          <w:lang w:val="fi-FI"/>
        </w:rPr>
      </w:pPr>
      <w:r>
        <w:t xml:space="preserve">Wahyuni, A., Sutardi, Rapani, A., &amp; Hamzah, R. (2022). Pengaruh Profitabilitas, Likuiditas, </w:t>
      </w:r>
      <w:r w:rsidR="005F6558">
        <w:t>d</w:t>
      </w:r>
      <w:r>
        <w:t xml:space="preserve">an Leverage </w:t>
      </w:r>
      <w:r w:rsidR="005F6558">
        <w:t>t</w:t>
      </w:r>
      <w:r>
        <w:t xml:space="preserve">erhadap Kebijakan Dividen (Studi Kasus </w:t>
      </w:r>
      <w:r w:rsidR="005F6558">
        <w:t>p</w:t>
      </w:r>
      <w:r>
        <w:t xml:space="preserve">ada Perusahaan Manufaktur Sub Sektor Makanan </w:t>
      </w:r>
      <w:r w:rsidR="005F6558">
        <w:t>d</w:t>
      </w:r>
      <w:r>
        <w:t xml:space="preserve">an Minuman </w:t>
      </w:r>
      <w:r w:rsidR="005F6558">
        <w:t>y</w:t>
      </w:r>
      <w:r>
        <w:t xml:space="preserve">ang Terdaftar </w:t>
      </w:r>
      <w:r w:rsidR="005F6558">
        <w:t>d</w:t>
      </w:r>
      <w:r>
        <w:t>i Bursa Efek Indonesia (B</w:t>
      </w:r>
      <w:r w:rsidR="005F6558">
        <w:t>EI</w:t>
      </w:r>
      <w:r>
        <w:t xml:space="preserve">) Tahun 2018-2020). </w:t>
      </w:r>
      <w:r w:rsidRPr="005F6558">
        <w:rPr>
          <w:i/>
          <w:iCs/>
          <w:lang w:val="fi-FI"/>
        </w:rPr>
        <w:t>Japa-Almatama</w:t>
      </w:r>
      <w:r w:rsidRPr="00291FD0">
        <w:rPr>
          <w:lang w:val="fi-FI"/>
        </w:rPr>
        <w:t>, 1 No. 2, 89–115. Http://Journal.Jacfa.Id</w:t>
      </w:r>
    </w:p>
    <w:p w14:paraId="2082710E" w14:textId="1F4CF595" w:rsidR="0055531E" w:rsidRPr="00291FD0" w:rsidRDefault="0055531E" w:rsidP="00291FD0">
      <w:pPr>
        <w:pStyle w:val="BodyText"/>
        <w:spacing w:before="34" w:line="276" w:lineRule="auto"/>
        <w:ind w:left="709" w:hanging="709"/>
        <w:jc w:val="both"/>
        <w:rPr>
          <w:lang w:val="fi-FI"/>
        </w:rPr>
      </w:pPr>
      <w:r w:rsidRPr="00291FD0">
        <w:rPr>
          <w:lang w:val="fi-FI"/>
        </w:rPr>
        <w:t xml:space="preserve">Wahyuni, E. S. (2021). Pengaruh Leverage, Likuiditas, Profitabilitas </w:t>
      </w:r>
      <w:r w:rsidR="005F6558">
        <w:rPr>
          <w:lang w:val="fi-FI"/>
        </w:rPr>
        <w:t>d</w:t>
      </w:r>
      <w:r w:rsidRPr="00291FD0">
        <w:rPr>
          <w:lang w:val="fi-FI"/>
        </w:rPr>
        <w:t xml:space="preserve">an Pertumbuhan Perusahaan </w:t>
      </w:r>
      <w:r w:rsidR="005F6558">
        <w:rPr>
          <w:lang w:val="fi-FI"/>
        </w:rPr>
        <w:t>t</w:t>
      </w:r>
      <w:r w:rsidRPr="00291FD0">
        <w:rPr>
          <w:lang w:val="fi-FI"/>
        </w:rPr>
        <w:t xml:space="preserve">erhadap Kebijakan Dividen. </w:t>
      </w:r>
      <w:r w:rsidRPr="005F6558">
        <w:rPr>
          <w:i/>
          <w:iCs/>
          <w:lang w:val="fi-FI"/>
        </w:rPr>
        <w:t xml:space="preserve">Jurnal Ekonomika </w:t>
      </w:r>
      <w:r w:rsidR="005F6558">
        <w:rPr>
          <w:i/>
          <w:iCs/>
          <w:lang w:val="fi-FI"/>
        </w:rPr>
        <w:t>d</w:t>
      </w:r>
      <w:r w:rsidRPr="005F6558">
        <w:rPr>
          <w:i/>
          <w:iCs/>
          <w:lang w:val="fi-FI"/>
        </w:rPr>
        <w:t>an Manajemen</w:t>
      </w:r>
      <w:r w:rsidRPr="00291FD0">
        <w:rPr>
          <w:lang w:val="fi-FI"/>
        </w:rPr>
        <w:t>, 10(1), 46. Https://Doi.Org/10.36080/Jem.V10i1.1770</w:t>
      </w:r>
    </w:p>
    <w:p w14:paraId="1444FEFA" w14:textId="0C6426FF" w:rsidR="005C4E87" w:rsidRPr="00861476" w:rsidRDefault="0055531E" w:rsidP="00291FD0">
      <w:pPr>
        <w:pStyle w:val="BodyText"/>
        <w:spacing w:before="34" w:line="276" w:lineRule="auto"/>
        <w:ind w:left="709" w:hanging="709"/>
        <w:jc w:val="both"/>
      </w:pPr>
      <w:r w:rsidRPr="00291FD0">
        <w:rPr>
          <w:lang w:val="fi-FI"/>
        </w:rPr>
        <w:t xml:space="preserve">Yuliantari, N. P. T., Sukadana, I. W., &amp; Widnyana, I. W. (2019). </w:t>
      </w:r>
      <w:r>
        <w:t xml:space="preserve">Analisis Pengaruh Profitabilitas </w:t>
      </w:r>
      <w:r w:rsidR="005F6558">
        <w:t>d</w:t>
      </w:r>
      <w:r>
        <w:t xml:space="preserve">an Likuiditas </w:t>
      </w:r>
      <w:r w:rsidR="005F6558">
        <w:t>t</w:t>
      </w:r>
      <w:r>
        <w:t xml:space="preserve">erhadap Kebijakan Dividen </w:t>
      </w:r>
      <w:r w:rsidR="005F6558">
        <w:t>p</w:t>
      </w:r>
      <w:r>
        <w:t xml:space="preserve">ada Perusahaan Manufaktur </w:t>
      </w:r>
      <w:r w:rsidR="005F6558">
        <w:t>y</w:t>
      </w:r>
      <w:r>
        <w:t xml:space="preserve">ang Terdaftar </w:t>
      </w:r>
      <w:r w:rsidR="005F6558">
        <w:t>d</w:t>
      </w:r>
      <w:r>
        <w:t>i Bursa Efek Indonesia.</w:t>
      </w:r>
    </w:p>
    <w:p w14:paraId="35F67B03" w14:textId="77777777" w:rsidR="005C4E87" w:rsidRPr="00786FE8" w:rsidRDefault="005C4E87" w:rsidP="00291FD0">
      <w:pPr>
        <w:spacing w:line="276" w:lineRule="auto"/>
        <w:rPr>
          <w:rFonts w:asciiTheme="majorBidi" w:hAnsiTheme="majorBidi" w:cstheme="majorBidi"/>
          <w:iCs/>
          <w:sz w:val="24"/>
          <w:szCs w:val="24"/>
        </w:rPr>
      </w:pPr>
      <w:r w:rsidRPr="00861476">
        <w:rPr>
          <w:rFonts w:ascii="Times New Roman" w:hAnsi="Times New Roman"/>
          <w:sz w:val="24"/>
          <w:szCs w:val="24"/>
          <w:lang w:val="fi-FI"/>
        </w:rPr>
        <w:fldChar w:fldCharType="end"/>
      </w:r>
    </w:p>
    <w:p w14:paraId="5A33A653" w14:textId="77777777" w:rsidR="000B32CC" w:rsidRDefault="000B32CC" w:rsidP="00291FD0">
      <w:pPr>
        <w:spacing w:line="276" w:lineRule="auto"/>
      </w:pPr>
    </w:p>
    <w:sectPr w:rsidR="000B32CC" w:rsidSect="00291FD0">
      <w:headerReference w:type="default" r:id="rId23"/>
      <w:footerReference w:type="default" r:id="rId24"/>
      <w:pgSz w:w="11907" w:h="16840" w:code="9"/>
      <w:pgMar w:top="1440" w:right="1440" w:bottom="1440" w:left="1440" w:header="709" w:footer="709" w:gutter="0"/>
      <w:pgNumType w:start="20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4BC3D" w14:textId="77777777" w:rsidR="00837505" w:rsidRDefault="00837505" w:rsidP="006945E5">
      <w:r>
        <w:separator/>
      </w:r>
    </w:p>
  </w:endnote>
  <w:endnote w:type="continuationSeparator" w:id="0">
    <w:p w14:paraId="5E04577A" w14:textId="77777777" w:rsidR="00837505" w:rsidRDefault="00837505" w:rsidP="00694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0BFE7" w14:textId="48C8D43A" w:rsidR="00242629" w:rsidRDefault="00242629" w:rsidP="00242629">
    <w:pPr>
      <w:pStyle w:val="Footer"/>
      <w:pBdr>
        <w:top w:val="thinThickSmallGap" w:sz="24" w:space="1" w:color="823B0B"/>
      </w:pBdr>
      <w:tabs>
        <w:tab w:val="right" w:pos="9404"/>
      </w:tabs>
      <w:rPr>
        <w:noProof/>
      </w:rPr>
    </w:pPr>
    <w:r w:rsidRPr="000D5E95">
      <w:rPr>
        <w:rFonts w:ascii="Times New Roman" w:hAnsi="Times New Roman"/>
        <w:b/>
        <w:bCs/>
        <w:sz w:val="15"/>
        <w:szCs w:val="15"/>
      </w:rPr>
      <w:t xml:space="preserve">Nadya Kamila, Ossi Ferli: </w:t>
    </w:r>
    <w:r w:rsidRPr="000D5E95">
      <w:rPr>
        <w:rFonts w:ascii="Times New Roman" w:hAnsi="Times New Roman"/>
        <w:sz w:val="15"/>
        <w:szCs w:val="15"/>
      </w:rPr>
      <w:t>More Stable, More Generous Banks? The Relationship between Financial Performance and Dividend Policy</w:t>
    </w:r>
    <w:r>
      <w:rPr>
        <w:rFonts w:ascii="Calibri Light" w:hAnsi="Calibri Light"/>
        <w:b/>
        <w:sz w:val="15"/>
        <w:szCs w:val="15"/>
      </w:rPr>
      <w:t xml:space="preserve"> ……..</w:t>
    </w:r>
    <w:r w:rsidRPr="00E963A1">
      <w:rPr>
        <w:rFonts w:ascii="Calibri Light" w:eastAsia="Times New Roman" w:hAnsi="Calibri Light"/>
      </w:rPr>
      <w:tab/>
      <w:t xml:space="preserve"> </w:t>
    </w:r>
    <w:r>
      <w:fldChar w:fldCharType="begin"/>
    </w:r>
    <w:r>
      <w:instrText xml:space="preserve"> PAGE   \* MERGEFORMAT </w:instrText>
    </w:r>
    <w:r>
      <w:fldChar w:fldCharType="separate"/>
    </w:r>
    <w:r>
      <w:t>175</w:t>
    </w:r>
    <w:r>
      <w:rPr>
        <w:noProof/>
      </w:rPr>
      <w:fldChar w:fldCharType="end"/>
    </w:r>
  </w:p>
  <w:p w14:paraId="2B193C09" w14:textId="2DB5DDFD" w:rsidR="00291FD0" w:rsidRPr="00242629" w:rsidRDefault="00291FD0" w:rsidP="00242629">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0A2E6" w14:textId="77777777" w:rsidR="00837505" w:rsidRDefault="00837505" w:rsidP="006945E5">
      <w:r>
        <w:separator/>
      </w:r>
    </w:p>
  </w:footnote>
  <w:footnote w:type="continuationSeparator" w:id="0">
    <w:p w14:paraId="0E3F3C3C" w14:textId="77777777" w:rsidR="00837505" w:rsidRDefault="00837505" w:rsidP="00694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9F2CA" w14:textId="77777777" w:rsidR="00112676" w:rsidRPr="00750F68" w:rsidRDefault="00837505" w:rsidP="003912BA">
    <w:pPr>
      <w:pStyle w:val="Header"/>
      <w:ind w:left="3407" w:firstLine="4248"/>
      <w:jc w:val="center"/>
      <w:rPr>
        <w:rFonts w:ascii="Cambria" w:hAnsi="Cambria" w:cs="Arial"/>
        <w:bCs/>
        <w:sz w:val="15"/>
        <w:szCs w:val="15"/>
      </w:rPr>
    </w:pPr>
    <w:r>
      <w:rPr>
        <w:noProof/>
      </w:rPr>
      <w:drawing>
        <wp:anchor distT="0" distB="0" distL="114300" distR="114300" simplePos="0" relativeHeight="251659264" behindDoc="0" locked="0" layoutInCell="1" allowOverlap="1" wp14:anchorId="5DC131FD" wp14:editId="57A78E0D">
          <wp:simplePos x="0" y="0"/>
          <wp:positionH relativeFrom="column">
            <wp:posOffset>127635</wp:posOffset>
          </wp:positionH>
          <wp:positionV relativeFrom="paragraph">
            <wp:posOffset>-16510</wp:posOffset>
          </wp:positionV>
          <wp:extent cx="792480" cy="346075"/>
          <wp:effectExtent l="0" t="0" r="7620" b="15875"/>
          <wp:wrapNone/>
          <wp:docPr id="75827816" name="Picture 1" descr="Description: http://ejurnalunsam.id/public/site/images/rizal/1_Primary_logo_on_transparent_176x6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ejurnalunsam.id/public/site/images/rizal/1_Primary_logo_on_transparent_176x693.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92480" cy="346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hAnsi="Cambria" w:cs="Arial"/>
        <w:sz w:val="15"/>
        <w:szCs w:val="15"/>
      </w:rPr>
      <w:t>P-</w:t>
    </w:r>
    <w:r w:rsidRPr="00750F68">
      <w:rPr>
        <w:rFonts w:ascii="Cambria" w:hAnsi="Cambria" w:cs="Arial"/>
        <w:sz w:val="15"/>
        <w:szCs w:val="15"/>
      </w:rPr>
      <w:t xml:space="preserve">ISSN : </w:t>
    </w:r>
    <w:r w:rsidRPr="00750F68">
      <w:rPr>
        <w:rFonts w:ascii="Cambria" w:hAnsi="Cambria" w:cs="Arial"/>
        <w:bCs/>
        <w:sz w:val="15"/>
        <w:szCs w:val="15"/>
      </w:rPr>
      <w:t>2252-844X</w:t>
    </w:r>
  </w:p>
  <w:p w14:paraId="0343FAEA" w14:textId="77777777" w:rsidR="00112676" w:rsidRPr="00750F68" w:rsidRDefault="00837505" w:rsidP="003912BA">
    <w:pPr>
      <w:pStyle w:val="Header"/>
      <w:tabs>
        <w:tab w:val="left" w:pos="6315"/>
        <w:tab w:val="left" w:pos="7655"/>
        <w:tab w:val="right" w:pos="9070"/>
      </w:tabs>
      <w:rPr>
        <w:rFonts w:ascii="Cambria" w:hAnsi="Cambria" w:cs="Arial"/>
        <w:sz w:val="15"/>
        <w:szCs w:val="15"/>
      </w:rPr>
    </w:pPr>
    <w:r>
      <w:rPr>
        <w:rFonts w:ascii="Cambria" w:hAnsi="Cambria" w:cs="Arial"/>
        <w:sz w:val="15"/>
        <w:szCs w:val="15"/>
      </w:rPr>
      <w:tab/>
    </w:r>
    <w:r>
      <w:rPr>
        <w:rFonts w:ascii="Cambria" w:hAnsi="Cambria" w:cs="Arial"/>
        <w:sz w:val="15"/>
        <w:szCs w:val="15"/>
      </w:rPr>
      <w:tab/>
    </w:r>
    <w:r>
      <w:rPr>
        <w:rFonts w:ascii="Cambria" w:hAnsi="Cambria" w:cs="Arial"/>
        <w:sz w:val="15"/>
        <w:szCs w:val="15"/>
      </w:rPr>
      <w:tab/>
      <w:t xml:space="preserve">  E</w:t>
    </w:r>
    <w:r w:rsidRPr="00750F68">
      <w:rPr>
        <w:rFonts w:ascii="Cambria" w:hAnsi="Cambria" w:cs="Arial"/>
        <w:sz w:val="15"/>
        <w:szCs w:val="15"/>
      </w:rPr>
      <w:t>-ISSN : 2615-1316</w:t>
    </w:r>
  </w:p>
  <w:p w14:paraId="61FD9A14" w14:textId="0A1F6810" w:rsidR="00112676" w:rsidRDefault="00837505" w:rsidP="003912BA">
    <w:pPr>
      <w:pStyle w:val="Header"/>
      <w:tabs>
        <w:tab w:val="left" w:pos="3119"/>
      </w:tabs>
      <w:jc w:val="right"/>
    </w:pPr>
    <w:r w:rsidRPr="00750F68">
      <w:rPr>
        <w:rFonts w:ascii="Cambria" w:hAnsi="Cambria" w:cs="Arial"/>
        <w:b/>
        <w:iCs/>
        <w:sz w:val="15"/>
        <w:szCs w:val="15"/>
      </w:rPr>
      <w:t>JURNAL MAN</w:t>
    </w:r>
    <w:r>
      <w:rPr>
        <w:rFonts w:ascii="Cambria" w:hAnsi="Cambria" w:cs="Arial"/>
        <w:b/>
        <w:iCs/>
        <w:sz w:val="15"/>
        <w:szCs w:val="15"/>
      </w:rPr>
      <w:t>AJEMEN DAN KEUANGAN, VOL.14, NO.</w:t>
    </w:r>
    <w:r w:rsidR="005521A2">
      <w:rPr>
        <w:rFonts w:ascii="Cambria" w:hAnsi="Cambria" w:cs="Arial"/>
        <w:b/>
        <w:iCs/>
        <w:sz w:val="15"/>
        <w:szCs w:val="15"/>
      </w:rPr>
      <w:t>2</w:t>
    </w:r>
    <w:r>
      <w:rPr>
        <w:rFonts w:ascii="Cambria" w:hAnsi="Cambria" w:cs="Arial"/>
        <w:b/>
        <w:iCs/>
        <w:sz w:val="15"/>
        <w:szCs w:val="15"/>
      </w:rPr>
      <w:t xml:space="preserve">, </w:t>
    </w:r>
    <w:r w:rsidR="005521A2">
      <w:rPr>
        <w:rFonts w:ascii="Cambria" w:hAnsi="Cambria" w:cs="Arial"/>
        <w:b/>
        <w:iCs/>
        <w:sz w:val="15"/>
        <w:szCs w:val="15"/>
      </w:rPr>
      <w:t>NOVEMBER</w:t>
    </w:r>
    <w:r>
      <w:rPr>
        <w:rFonts w:ascii="Cambria" w:hAnsi="Cambria" w:cs="Arial"/>
        <w:b/>
        <w:iCs/>
        <w:sz w:val="15"/>
        <w:szCs w:val="15"/>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9pt;height:21.3pt;visibility:visible;mso-wrap-style:square" o:bullet="t">
        <v:imagedata r:id="rId1" o:title=""/>
      </v:shape>
    </w:pict>
  </w:numPicBullet>
  <w:abstractNum w:abstractNumId="0" w15:restartNumberingAfterBreak="0">
    <w:nsid w:val="0F2F20C7"/>
    <w:multiLevelType w:val="multilevel"/>
    <w:tmpl w:val="6494EF8A"/>
    <w:lvl w:ilvl="0">
      <w:start w:val="1"/>
      <w:numFmt w:val="lowerLetter"/>
      <w:lvlText w:val="%1."/>
      <w:lvlJc w:val="righ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743479C"/>
    <w:multiLevelType w:val="hybridMultilevel"/>
    <w:tmpl w:val="3B128C42"/>
    <w:lvl w:ilvl="0" w:tplc="51189AB4">
      <w:start w:val="1"/>
      <w:numFmt w:val="upperLetter"/>
      <w:lvlText w:val="%1."/>
      <w:lvlJc w:val="left"/>
      <w:pPr>
        <w:ind w:left="720" w:hanging="360"/>
      </w:pPr>
      <w:rPr>
        <w:rFonts w:ascii="Times New Roman" w:eastAsia="Calibri" w:hAnsi="Times New Roman" w:cs="Times New Roman"/>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44582373"/>
    <w:multiLevelType w:val="hybridMultilevel"/>
    <w:tmpl w:val="4B64A3C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0EA78F5"/>
    <w:multiLevelType w:val="hybridMultilevel"/>
    <w:tmpl w:val="D818C2A0"/>
    <w:lvl w:ilvl="0" w:tplc="BD060E1E">
      <w:start w:val="1"/>
      <w:numFmt w:val="decimal"/>
      <w:lvlText w:val="%1."/>
      <w:lvlJc w:val="left"/>
      <w:pPr>
        <w:ind w:left="2345" w:hanging="360"/>
      </w:pPr>
    </w:lvl>
    <w:lvl w:ilvl="1" w:tplc="04210019">
      <w:start w:val="1"/>
      <w:numFmt w:val="lowerLetter"/>
      <w:lvlText w:val="%2."/>
      <w:lvlJc w:val="left"/>
      <w:pPr>
        <w:ind w:left="3065" w:hanging="360"/>
      </w:pPr>
    </w:lvl>
    <w:lvl w:ilvl="2" w:tplc="0421001B">
      <w:start w:val="1"/>
      <w:numFmt w:val="lowerRoman"/>
      <w:lvlText w:val="%3."/>
      <w:lvlJc w:val="right"/>
      <w:pPr>
        <w:ind w:left="3785" w:hanging="180"/>
      </w:pPr>
    </w:lvl>
    <w:lvl w:ilvl="3" w:tplc="0421000F">
      <w:start w:val="1"/>
      <w:numFmt w:val="decimal"/>
      <w:lvlText w:val="%4."/>
      <w:lvlJc w:val="left"/>
      <w:pPr>
        <w:ind w:left="4505" w:hanging="360"/>
      </w:pPr>
    </w:lvl>
    <w:lvl w:ilvl="4" w:tplc="04210019">
      <w:start w:val="1"/>
      <w:numFmt w:val="lowerLetter"/>
      <w:lvlText w:val="%5."/>
      <w:lvlJc w:val="left"/>
      <w:pPr>
        <w:ind w:left="5225" w:hanging="360"/>
      </w:pPr>
    </w:lvl>
    <w:lvl w:ilvl="5" w:tplc="0421001B">
      <w:start w:val="1"/>
      <w:numFmt w:val="lowerRoman"/>
      <w:lvlText w:val="%6."/>
      <w:lvlJc w:val="right"/>
      <w:pPr>
        <w:ind w:left="5945" w:hanging="180"/>
      </w:pPr>
    </w:lvl>
    <w:lvl w:ilvl="6" w:tplc="0421000F">
      <w:start w:val="1"/>
      <w:numFmt w:val="decimal"/>
      <w:lvlText w:val="%7."/>
      <w:lvlJc w:val="left"/>
      <w:pPr>
        <w:ind w:left="6665" w:hanging="360"/>
      </w:pPr>
    </w:lvl>
    <w:lvl w:ilvl="7" w:tplc="04210019">
      <w:start w:val="1"/>
      <w:numFmt w:val="lowerLetter"/>
      <w:lvlText w:val="%8."/>
      <w:lvlJc w:val="left"/>
      <w:pPr>
        <w:ind w:left="7385" w:hanging="360"/>
      </w:pPr>
    </w:lvl>
    <w:lvl w:ilvl="8" w:tplc="0421001B">
      <w:start w:val="1"/>
      <w:numFmt w:val="lowerRoman"/>
      <w:lvlText w:val="%9."/>
      <w:lvlJc w:val="right"/>
      <w:pPr>
        <w:ind w:left="8105" w:hanging="180"/>
      </w:pPr>
    </w:lvl>
  </w:abstractNum>
  <w:abstractNum w:abstractNumId="4" w15:restartNumberingAfterBreak="0">
    <w:nsid w:val="6B781DA9"/>
    <w:multiLevelType w:val="multilevel"/>
    <w:tmpl w:val="07E07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0224C3"/>
    <w:multiLevelType w:val="hybridMultilevel"/>
    <w:tmpl w:val="7D7EC8FA"/>
    <w:lvl w:ilvl="0" w:tplc="9D6EFFCA">
      <w:start w:val="1"/>
      <w:numFmt w:val="decimal"/>
      <w:lvlText w:val="%1."/>
      <w:lvlJc w:val="left"/>
      <w:pPr>
        <w:ind w:left="720" w:hanging="360"/>
      </w:pPr>
      <w:rPr>
        <w:rFonts w:ascii="Times New Roman" w:eastAsia="Calibr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87"/>
    <w:rsid w:val="0002013A"/>
    <w:rsid w:val="000A242C"/>
    <w:rsid w:val="000B32CC"/>
    <w:rsid w:val="000D1B72"/>
    <w:rsid w:val="000D5E95"/>
    <w:rsid w:val="00112676"/>
    <w:rsid w:val="001343A0"/>
    <w:rsid w:val="00134773"/>
    <w:rsid w:val="00161EE3"/>
    <w:rsid w:val="00197685"/>
    <w:rsid w:val="001D2B7B"/>
    <w:rsid w:val="001E1991"/>
    <w:rsid w:val="002109D8"/>
    <w:rsid w:val="0021401C"/>
    <w:rsid w:val="00242629"/>
    <w:rsid w:val="00291FD0"/>
    <w:rsid w:val="00293B82"/>
    <w:rsid w:val="002C71A6"/>
    <w:rsid w:val="002F0E0A"/>
    <w:rsid w:val="00312F0B"/>
    <w:rsid w:val="00341E3E"/>
    <w:rsid w:val="00342A6D"/>
    <w:rsid w:val="003446DE"/>
    <w:rsid w:val="003A1B47"/>
    <w:rsid w:val="004766B2"/>
    <w:rsid w:val="004924E2"/>
    <w:rsid w:val="004B1CDE"/>
    <w:rsid w:val="004F1F84"/>
    <w:rsid w:val="00540CF0"/>
    <w:rsid w:val="005521A2"/>
    <w:rsid w:val="0055531E"/>
    <w:rsid w:val="00563DD1"/>
    <w:rsid w:val="00565947"/>
    <w:rsid w:val="005C4E87"/>
    <w:rsid w:val="005F6558"/>
    <w:rsid w:val="0060420B"/>
    <w:rsid w:val="00610FD7"/>
    <w:rsid w:val="00623F30"/>
    <w:rsid w:val="00625998"/>
    <w:rsid w:val="0062680E"/>
    <w:rsid w:val="00657433"/>
    <w:rsid w:val="006945E5"/>
    <w:rsid w:val="006A5845"/>
    <w:rsid w:val="006D0EF8"/>
    <w:rsid w:val="007846C2"/>
    <w:rsid w:val="0078649C"/>
    <w:rsid w:val="00787A13"/>
    <w:rsid w:val="007C2CCA"/>
    <w:rsid w:val="007E1294"/>
    <w:rsid w:val="007E4DC4"/>
    <w:rsid w:val="00801969"/>
    <w:rsid w:val="00810634"/>
    <w:rsid w:val="00837505"/>
    <w:rsid w:val="00861476"/>
    <w:rsid w:val="0086795F"/>
    <w:rsid w:val="008A0CD4"/>
    <w:rsid w:val="008C6C0A"/>
    <w:rsid w:val="009202A2"/>
    <w:rsid w:val="00927288"/>
    <w:rsid w:val="00961205"/>
    <w:rsid w:val="009E5E44"/>
    <w:rsid w:val="00A12B8C"/>
    <w:rsid w:val="00A13690"/>
    <w:rsid w:val="00A2383A"/>
    <w:rsid w:val="00A36E8F"/>
    <w:rsid w:val="00A67D38"/>
    <w:rsid w:val="00A9533E"/>
    <w:rsid w:val="00AD1685"/>
    <w:rsid w:val="00AF68F5"/>
    <w:rsid w:val="00B56271"/>
    <w:rsid w:val="00BA4C3E"/>
    <w:rsid w:val="00C234F3"/>
    <w:rsid w:val="00C67BF1"/>
    <w:rsid w:val="00C77236"/>
    <w:rsid w:val="00C96D62"/>
    <w:rsid w:val="00CA602A"/>
    <w:rsid w:val="00CF2C8C"/>
    <w:rsid w:val="00CF5428"/>
    <w:rsid w:val="00D22453"/>
    <w:rsid w:val="00D31E75"/>
    <w:rsid w:val="00D43E7B"/>
    <w:rsid w:val="00D80E95"/>
    <w:rsid w:val="00E15C6D"/>
    <w:rsid w:val="00E34AA6"/>
    <w:rsid w:val="00E9150A"/>
    <w:rsid w:val="00F038C1"/>
    <w:rsid w:val="00F07AC2"/>
    <w:rsid w:val="00F153D2"/>
    <w:rsid w:val="00F16668"/>
    <w:rsid w:val="00F4321D"/>
    <w:rsid w:val="00F442BA"/>
    <w:rsid w:val="00F719B2"/>
    <w:rsid w:val="00FA6BC2"/>
    <w:rsid w:val="00FA7D22"/>
    <w:rsid w:val="00FB0D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5DFE9"/>
  <w15:chartTrackingRefBased/>
  <w15:docId w15:val="{1554905B-1A27-470D-83A0-0028D80B2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343A0"/>
    <w:pPr>
      <w:widowControl w:val="0"/>
      <w:spacing w:after="0"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5C4E87"/>
    <w:pPr>
      <w:keepNext/>
      <w:keepLines/>
      <w:widowControl/>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C4E87"/>
    <w:pPr>
      <w:keepNext/>
      <w:keepLines/>
      <w:widowControl/>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4E87"/>
    <w:pPr>
      <w:keepNext/>
      <w:keepLines/>
      <w:widowControl/>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4E87"/>
    <w:pPr>
      <w:keepNext/>
      <w:keepLines/>
      <w:widowControl/>
      <w:spacing w:before="80" w:after="40" w:line="259" w:lineRule="auto"/>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C4E87"/>
    <w:pPr>
      <w:keepNext/>
      <w:keepLines/>
      <w:widowControl/>
      <w:spacing w:before="80" w:after="40" w:line="259" w:lineRule="auto"/>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C4E87"/>
    <w:pPr>
      <w:keepNext/>
      <w:keepLines/>
      <w:widowControl/>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C4E87"/>
    <w:pPr>
      <w:keepNext/>
      <w:keepLines/>
      <w:widowControl/>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C4E87"/>
    <w:pPr>
      <w:keepNext/>
      <w:keepLines/>
      <w:widowControl/>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C4E87"/>
    <w:pPr>
      <w:keepNext/>
      <w:keepLines/>
      <w:widowControl/>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E8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C4E8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C4E8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C4E8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C4E8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C4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E87"/>
    <w:rPr>
      <w:rFonts w:eastAsiaTheme="majorEastAsia" w:cstheme="majorBidi"/>
      <w:color w:val="272727" w:themeColor="text1" w:themeTint="D8"/>
    </w:rPr>
  </w:style>
  <w:style w:type="paragraph" w:styleId="Title">
    <w:name w:val="Title"/>
    <w:basedOn w:val="Normal"/>
    <w:next w:val="Normal"/>
    <w:link w:val="TitleChar"/>
    <w:uiPriority w:val="10"/>
    <w:qFormat/>
    <w:rsid w:val="005C4E87"/>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4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E87"/>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4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E87"/>
    <w:pPr>
      <w:widowControl/>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C4E87"/>
    <w:rPr>
      <w:i/>
      <w:iCs/>
      <w:color w:val="404040" w:themeColor="text1" w:themeTint="BF"/>
    </w:rPr>
  </w:style>
  <w:style w:type="paragraph" w:styleId="ListParagraph">
    <w:name w:val="List Paragraph"/>
    <w:aliases w:val="Body Text Char1,Char Char2,tabel,List Paragraph1,spasi 2 taiiii,NamaImage,Tabel dan Gambar,Tabel dan GambarCxSpLast,Body of text,kepala,heading 3,skripsi,P1,Heading 10,awal,Heading 11,Paragraf List,Medium Grid 1 - Accent 21,Body of text+1"/>
    <w:basedOn w:val="Normal"/>
    <w:link w:val="ListParagraphChar"/>
    <w:uiPriority w:val="34"/>
    <w:qFormat/>
    <w:rsid w:val="005C4E87"/>
    <w:pPr>
      <w:widowControl/>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C4E87"/>
    <w:rPr>
      <w:i/>
      <w:iCs/>
      <w:color w:val="2E74B5" w:themeColor="accent1" w:themeShade="BF"/>
    </w:rPr>
  </w:style>
  <w:style w:type="paragraph" w:styleId="IntenseQuote">
    <w:name w:val="Intense Quote"/>
    <w:basedOn w:val="Normal"/>
    <w:next w:val="Normal"/>
    <w:link w:val="IntenseQuoteChar"/>
    <w:uiPriority w:val="30"/>
    <w:qFormat/>
    <w:rsid w:val="005C4E87"/>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5C4E87"/>
    <w:rPr>
      <w:i/>
      <w:iCs/>
      <w:color w:val="2E74B5" w:themeColor="accent1" w:themeShade="BF"/>
    </w:rPr>
  </w:style>
  <w:style w:type="character" w:styleId="IntenseReference">
    <w:name w:val="Intense Reference"/>
    <w:basedOn w:val="DefaultParagraphFont"/>
    <w:uiPriority w:val="32"/>
    <w:qFormat/>
    <w:rsid w:val="005C4E87"/>
    <w:rPr>
      <w:b/>
      <w:bCs/>
      <w:smallCaps/>
      <w:color w:val="2E74B5" w:themeColor="accent1" w:themeShade="BF"/>
      <w:spacing w:val="5"/>
    </w:rPr>
  </w:style>
  <w:style w:type="paragraph" w:styleId="BodyText">
    <w:name w:val="Body Text"/>
    <w:basedOn w:val="Normal"/>
    <w:link w:val="BodyTextChar"/>
    <w:uiPriority w:val="1"/>
    <w:qFormat/>
    <w:rsid w:val="005C4E87"/>
    <w:pPr>
      <w:ind w:left="572"/>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5C4E87"/>
    <w:rPr>
      <w:rFonts w:ascii="Times New Roman" w:eastAsia="Times New Roman" w:hAnsi="Times New Roman" w:cs="Times New Roman"/>
      <w:kern w:val="0"/>
      <w:sz w:val="24"/>
      <w:szCs w:val="24"/>
      <w14:ligatures w14:val="none"/>
    </w:rPr>
  </w:style>
  <w:style w:type="paragraph" w:customStyle="1" w:styleId="Authors">
    <w:name w:val="Authors"/>
    <w:basedOn w:val="Normal"/>
    <w:next w:val="Normal"/>
    <w:rsid w:val="005C4E87"/>
    <w:pPr>
      <w:widowControl/>
      <w:suppressAutoHyphens/>
      <w:jc w:val="center"/>
    </w:pPr>
    <w:rPr>
      <w:rFonts w:ascii="Times New Roman" w:eastAsia="Times New Roman" w:hAnsi="Times New Roman"/>
      <w:sz w:val="24"/>
      <w:szCs w:val="24"/>
      <w:lang w:val="hr-HR" w:eastAsia="id-ID"/>
    </w:rPr>
  </w:style>
  <w:style w:type="paragraph" w:styleId="Header">
    <w:name w:val="header"/>
    <w:basedOn w:val="Normal"/>
    <w:link w:val="HeaderChar"/>
    <w:uiPriority w:val="99"/>
    <w:unhideWhenUsed/>
    <w:rsid w:val="005C4E87"/>
    <w:pPr>
      <w:tabs>
        <w:tab w:val="center" w:pos="4513"/>
        <w:tab w:val="right" w:pos="9026"/>
      </w:tabs>
    </w:pPr>
  </w:style>
  <w:style w:type="character" w:customStyle="1" w:styleId="HeaderChar">
    <w:name w:val="Header Char"/>
    <w:basedOn w:val="DefaultParagraphFont"/>
    <w:link w:val="Header"/>
    <w:uiPriority w:val="99"/>
    <w:rsid w:val="005C4E87"/>
    <w:rPr>
      <w:rFonts w:ascii="Calibri" w:eastAsia="Calibri" w:hAnsi="Calibri" w:cs="Times New Roman"/>
      <w:kern w:val="0"/>
      <w14:ligatures w14:val="none"/>
    </w:rPr>
  </w:style>
  <w:style w:type="paragraph" w:styleId="Footer">
    <w:name w:val="footer"/>
    <w:basedOn w:val="Normal"/>
    <w:link w:val="FooterChar"/>
    <w:uiPriority w:val="99"/>
    <w:unhideWhenUsed/>
    <w:rsid w:val="005C4E87"/>
    <w:pPr>
      <w:tabs>
        <w:tab w:val="center" w:pos="4513"/>
        <w:tab w:val="right" w:pos="9026"/>
      </w:tabs>
    </w:pPr>
  </w:style>
  <w:style w:type="character" w:customStyle="1" w:styleId="FooterChar">
    <w:name w:val="Footer Char"/>
    <w:basedOn w:val="DefaultParagraphFont"/>
    <w:link w:val="Footer"/>
    <w:uiPriority w:val="99"/>
    <w:rsid w:val="005C4E87"/>
    <w:rPr>
      <w:rFonts w:ascii="Calibri" w:eastAsia="Calibri" w:hAnsi="Calibri" w:cs="Times New Roman"/>
      <w:kern w:val="0"/>
      <w14:ligatures w14:val="none"/>
    </w:rPr>
  </w:style>
  <w:style w:type="character" w:styleId="Strong">
    <w:name w:val="Strong"/>
    <w:basedOn w:val="DefaultParagraphFont"/>
    <w:uiPriority w:val="22"/>
    <w:qFormat/>
    <w:rsid w:val="004F1F84"/>
    <w:rPr>
      <w:b/>
      <w:bCs/>
    </w:rPr>
  </w:style>
  <w:style w:type="character" w:customStyle="1" w:styleId="ListParagraphChar">
    <w:name w:val="List Paragraph Char"/>
    <w:aliases w:val="Body Text Char1 Char,Char Char2 Char,tabel Char,List Paragraph1 Char,spasi 2 taiiii Char,NamaImage Char,Tabel dan Gambar Char,Tabel dan GambarCxSpLast Char,Body of text Char,kepala Char,heading 3 Char,skripsi Char,P1 Char,awal Char"/>
    <w:link w:val="ListParagraph"/>
    <w:uiPriority w:val="34"/>
    <w:qFormat/>
    <w:locked/>
    <w:rsid w:val="00CF2C8C"/>
  </w:style>
  <w:style w:type="paragraph" w:styleId="NormalWeb">
    <w:name w:val="Normal (Web)"/>
    <w:basedOn w:val="Normal"/>
    <w:uiPriority w:val="99"/>
    <w:semiHidden/>
    <w:unhideWhenUsed/>
    <w:rsid w:val="00CF2C8C"/>
    <w:pPr>
      <w:widowControl/>
      <w:spacing w:before="100" w:beforeAutospacing="1" w:after="100" w:afterAutospacing="1"/>
    </w:pPr>
    <w:rPr>
      <w:rFonts w:ascii="Times New Roman" w:eastAsia="Times New Roman" w:hAnsi="Times New Roman"/>
      <w:sz w:val="24"/>
      <w:szCs w:val="24"/>
      <w:lang w:val="en-ID" w:eastAsia="en-ID"/>
    </w:rPr>
  </w:style>
  <w:style w:type="character" w:styleId="Emphasis">
    <w:name w:val="Emphasis"/>
    <w:basedOn w:val="DefaultParagraphFont"/>
    <w:uiPriority w:val="20"/>
    <w:qFormat/>
    <w:rsid w:val="00625998"/>
    <w:rPr>
      <w:i/>
      <w:iCs/>
    </w:rPr>
  </w:style>
  <w:style w:type="table" w:styleId="TableGrid">
    <w:name w:val="Table Grid"/>
    <w:basedOn w:val="TableNormal"/>
    <w:uiPriority w:val="39"/>
    <w:rsid w:val="002F0E0A"/>
    <w:pPr>
      <w:spacing w:after="0" w:line="240" w:lineRule="auto"/>
    </w:pPr>
    <w:rPr>
      <w:kern w:val="0"/>
      <w:lang w:val="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1.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s>
</file>

<file path=word/_rels/header1.xml.rels><?xml version="1.0" encoding="UTF-8" standalone="yes"?>
<Relationships xmlns="http://schemas.openxmlformats.org/package/2006/relationships"><Relationship Id="rId2" Type="http://schemas.openxmlformats.org/officeDocument/2006/relationships/image" Target="http://ejurnalunsam.id/public/site/images/rizal/1_Primary_logo_on_transparent_176x693.png" TargetMode="External"/><Relationship Id="rId1" Type="http://schemas.openxmlformats.org/officeDocument/2006/relationships/image" Target="media/image1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7387</Words>
  <Characters>42110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 Gunanjar</dc:creator>
  <cp:keywords/>
  <dc:description/>
  <cp:lastModifiedBy>rizqi zati</cp:lastModifiedBy>
  <cp:revision>2</cp:revision>
  <dcterms:created xsi:type="dcterms:W3CDTF">2025-11-07T09:01:00Z</dcterms:created>
  <dcterms:modified xsi:type="dcterms:W3CDTF">2025-11-07T09:01:00Z</dcterms:modified>
</cp:coreProperties>
</file>