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BB81D" w14:textId="759F344F" w:rsidR="00801914" w:rsidRDefault="00801914" w:rsidP="00EE5573">
      <w:pPr>
        <w:pStyle w:val="BodyText"/>
        <w:ind w:left="0" w:right="-45"/>
        <w:jc w:val="center"/>
        <w:rPr>
          <w:b/>
          <w:sz w:val="28"/>
          <w:szCs w:val="28"/>
          <w:lang w:val="en-ID"/>
        </w:rPr>
      </w:pPr>
      <w:bookmarkStart w:id="0" w:name="_Hlk189637479"/>
      <w:bookmarkStart w:id="1" w:name="_GoBack"/>
      <w:bookmarkEnd w:id="1"/>
      <w:r w:rsidRPr="00753271">
        <w:rPr>
          <w:b/>
          <w:sz w:val="28"/>
          <w:szCs w:val="28"/>
        </w:rPr>
        <w:t>Financial Behavior and Locus of Control: Key Factors in Understanding Financial Fraud Tendencies</w:t>
      </w:r>
    </w:p>
    <w:p w14:paraId="48B3032E" w14:textId="77777777" w:rsidR="00801914" w:rsidRDefault="00801914" w:rsidP="00801914">
      <w:pPr>
        <w:pStyle w:val="BodyText"/>
        <w:ind w:right="20"/>
        <w:jc w:val="center"/>
        <w:rPr>
          <w:b/>
          <w:sz w:val="28"/>
          <w:szCs w:val="28"/>
          <w:lang w:val="en-ID"/>
        </w:rPr>
      </w:pPr>
    </w:p>
    <w:p w14:paraId="168DE2F7" w14:textId="64E1750E" w:rsidR="00801914" w:rsidRPr="00EE5573" w:rsidRDefault="00801914" w:rsidP="00EE5573">
      <w:pPr>
        <w:pStyle w:val="BodyText"/>
        <w:ind w:left="0" w:right="-45"/>
        <w:jc w:val="center"/>
        <w:rPr>
          <w:b/>
          <w:lang w:val="fi-FI"/>
        </w:rPr>
      </w:pPr>
      <w:r w:rsidRPr="00EE5573">
        <w:rPr>
          <w:b/>
          <w:lang w:val="fi-FI"/>
        </w:rPr>
        <w:t>Sugiyanto</w:t>
      </w:r>
      <w:r w:rsidRPr="00EE5573">
        <w:rPr>
          <w:b/>
          <w:vertAlign w:val="superscript"/>
          <w:lang w:val="fi-FI"/>
        </w:rPr>
        <w:t>1*</w:t>
      </w:r>
      <w:r w:rsidR="004179ED" w:rsidRPr="00EE5573">
        <w:rPr>
          <w:b/>
          <w:vertAlign w:val="superscript"/>
          <w:lang w:val="fi-FI"/>
        </w:rPr>
        <w:t>)</w:t>
      </w:r>
      <w:r w:rsidRPr="00EE5573">
        <w:rPr>
          <w:b/>
          <w:lang w:val="fi-FI"/>
        </w:rPr>
        <w:t>, M. Khahfi Zuhanda</w:t>
      </w:r>
      <w:r w:rsidRPr="00EE5573">
        <w:rPr>
          <w:b/>
          <w:vertAlign w:val="superscript"/>
          <w:lang w:val="fi-FI"/>
        </w:rPr>
        <w:t>2)</w:t>
      </w:r>
      <w:r w:rsidRPr="00EE5573">
        <w:rPr>
          <w:b/>
          <w:lang w:val="fi-FI"/>
        </w:rPr>
        <w:t>, Aini Jahara</w:t>
      </w:r>
      <w:r w:rsidRPr="00EE5573">
        <w:rPr>
          <w:b/>
          <w:vertAlign w:val="superscript"/>
          <w:lang w:val="fi-FI"/>
        </w:rPr>
        <w:t>3)</w:t>
      </w:r>
      <w:r w:rsidRPr="00EE5573">
        <w:rPr>
          <w:b/>
          <w:lang w:val="fi-FI"/>
        </w:rPr>
        <w:t>, Azrul Abdillah</w:t>
      </w:r>
      <w:r w:rsidRPr="00EE5573">
        <w:rPr>
          <w:b/>
          <w:vertAlign w:val="superscript"/>
          <w:lang w:val="fi-FI"/>
        </w:rPr>
        <w:t>4)</w:t>
      </w:r>
      <w:r w:rsidRPr="00EE5573">
        <w:rPr>
          <w:b/>
          <w:lang w:val="fi-FI"/>
        </w:rPr>
        <w:t>, Vivi Nabilla</w:t>
      </w:r>
      <w:r w:rsidRPr="00EE5573">
        <w:rPr>
          <w:b/>
          <w:vertAlign w:val="superscript"/>
          <w:lang w:val="fi-FI"/>
        </w:rPr>
        <w:t>5)</w:t>
      </w:r>
      <w:r w:rsidRPr="00EE5573">
        <w:rPr>
          <w:b/>
          <w:lang w:val="fi-FI"/>
        </w:rPr>
        <w:t>, Ema Sari Panjaitan</w:t>
      </w:r>
      <w:r w:rsidRPr="00EE5573">
        <w:rPr>
          <w:b/>
          <w:vertAlign w:val="superscript"/>
          <w:lang w:val="fi-FI"/>
        </w:rPr>
        <w:t>6)</w:t>
      </w:r>
    </w:p>
    <w:p w14:paraId="528610FC" w14:textId="415D5859" w:rsidR="00801914" w:rsidRPr="00801914" w:rsidRDefault="00801914" w:rsidP="00EE5573">
      <w:pPr>
        <w:pStyle w:val="BodyText"/>
        <w:ind w:left="0" w:right="-45"/>
        <w:jc w:val="center"/>
        <w:rPr>
          <w:bCs/>
        </w:rPr>
      </w:pPr>
      <w:r w:rsidRPr="00291FD0">
        <w:rPr>
          <w:bCs/>
          <w:vertAlign w:val="superscript"/>
        </w:rPr>
        <w:t>1,2</w:t>
      </w:r>
      <w:r>
        <w:rPr>
          <w:bCs/>
          <w:vertAlign w:val="superscript"/>
        </w:rPr>
        <w:t>,3,4,5,6</w:t>
      </w:r>
      <w:r w:rsidRPr="00291FD0">
        <w:rPr>
          <w:bCs/>
          <w:vertAlign w:val="superscript"/>
        </w:rPr>
        <w:t>)</w:t>
      </w:r>
      <w:r>
        <w:rPr>
          <w:bCs/>
        </w:rPr>
        <w:t xml:space="preserve"> </w:t>
      </w:r>
      <w:proofErr w:type="spellStart"/>
      <w:r w:rsidRPr="00801914">
        <w:rPr>
          <w:bCs/>
        </w:rPr>
        <w:t>Departement</w:t>
      </w:r>
      <w:proofErr w:type="spellEnd"/>
      <w:r w:rsidRPr="00801914">
        <w:rPr>
          <w:bCs/>
        </w:rPr>
        <w:t xml:space="preserve"> of Psychology, Faculty of Psychology, Universitas Medan Area</w:t>
      </w:r>
    </w:p>
    <w:p w14:paraId="5C48DCBE" w14:textId="7C468210" w:rsidR="00801914" w:rsidRPr="00EE5573" w:rsidRDefault="00801914" w:rsidP="00EE5573">
      <w:pPr>
        <w:pStyle w:val="BodyText"/>
        <w:ind w:left="0" w:right="-45"/>
        <w:jc w:val="center"/>
        <w:rPr>
          <w:bCs/>
          <w:lang w:val="fi-FI"/>
        </w:rPr>
      </w:pPr>
      <w:r w:rsidRPr="00EE5573">
        <w:rPr>
          <w:bCs/>
          <w:lang w:val="fi-FI"/>
        </w:rPr>
        <w:t>Medan, Sumatera Utara, 20112</w:t>
      </w:r>
    </w:p>
    <w:p w14:paraId="72495C02" w14:textId="573E1AAC" w:rsidR="00801914" w:rsidRPr="00EE5573" w:rsidRDefault="00801914" w:rsidP="00EE5573">
      <w:pPr>
        <w:pStyle w:val="BodyText"/>
        <w:ind w:left="0" w:right="-45"/>
        <w:jc w:val="center"/>
        <w:rPr>
          <w:b/>
          <w:i/>
          <w:iCs/>
          <w:sz w:val="28"/>
          <w:szCs w:val="28"/>
          <w:lang w:val="fi-FI"/>
        </w:rPr>
      </w:pPr>
      <w:r w:rsidRPr="00EE5573">
        <w:rPr>
          <w:b/>
          <w:i/>
          <w:iCs/>
          <w:lang w:val="fi-FI"/>
        </w:rPr>
        <w:t xml:space="preserve">Email: </w:t>
      </w:r>
      <w:r w:rsidRPr="0098497B">
        <w:rPr>
          <w:i/>
          <w:lang w:val="id-ID"/>
        </w:rPr>
        <w:t>sugiyanto.zhaf@gmail.com</w:t>
      </w:r>
    </w:p>
    <w:bookmarkEnd w:id="0"/>
    <w:p w14:paraId="035BA3A7" w14:textId="77777777" w:rsidR="00801914" w:rsidRDefault="00801914" w:rsidP="00EE5573">
      <w:pPr>
        <w:pStyle w:val="Authors"/>
        <w:spacing w:line="360" w:lineRule="auto"/>
        <w:rPr>
          <w:b/>
          <w:bCs/>
        </w:rPr>
      </w:pPr>
    </w:p>
    <w:p w14:paraId="6DA1F8EF" w14:textId="77777777" w:rsidR="00801914" w:rsidRPr="00D31E75" w:rsidRDefault="00801914" w:rsidP="00801914">
      <w:pPr>
        <w:pStyle w:val="BodyText"/>
        <w:ind w:left="233" w:right="246"/>
        <w:jc w:val="center"/>
        <w:rPr>
          <w:b/>
          <w:color w:val="000000" w:themeColor="text1"/>
          <w:w w:val="105"/>
        </w:rPr>
      </w:pPr>
      <w:r w:rsidRPr="00D31E75">
        <w:rPr>
          <w:b/>
          <w:color w:val="000000" w:themeColor="text1"/>
          <w:w w:val="105"/>
        </w:rPr>
        <w:t>ABSTRACK</w:t>
      </w:r>
    </w:p>
    <w:p w14:paraId="79D7DCA9" w14:textId="6E1A64EF" w:rsidR="00801914" w:rsidRPr="00293B82" w:rsidRDefault="00801914" w:rsidP="00801914">
      <w:pPr>
        <w:ind w:left="851" w:right="1089"/>
        <w:jc w:val="both"/>
        <w:rPr>
          <w:rFonts w:asciiTheme="majorBidi" w:hAnsiTheme="majorBidi" w:cstheme="majorBidi"/>
          <w:i/>
          <w:iCs/>
          <w:color w:val="000000" w:themeColor="text1"/>
          <w:sz w:val="24"/>
          <w:szCs w:val="24"/>
        </w:rPr>
      </w:pPr>
      <w:r w:rsidRPr="00801914">
        <w:rPr>
          <w:rFonts w:asciiTheme="majorBidi" w:hAnsiTheme="majorBidi" w:cstheme="majorBidi"/>
          <w:i/>
          <w:iCs/>
          <w:color w:val="000000" w:themeColor="text1"/>
          <w:sz w:val="24"/>
          <w:szCs w:val="24"/>
        </w:rPr>
        <w:t>Fraud is a serious challenge and threat faced by various institutions and organizations. Financial reporting fraud is relatively rare but has a greater impact on losses. Financial pressure, opportunities and rationalization drive individuals to engage in fraudulent behavior (fraud). This study aims to determine whether financial behavior and internal locus of control influence the tendency toward financial fraud. A total of 401 village officials were sampled in Deli Serdang Regency and measured using multiple regression analysis. The results showed a negative influence of financial behavior and internal locus of control on financial fraud tendencies, contributing 25.8% simultaneously. The implications of this study are expected for village officials should enhance their internal locus of control and establish healthy management of financial management, through training and workshops.</w:t>
      </w:r>
    </w:p>
    <w:p w14:paraId="693938B4" w14:textId="77777777" w:rsidR="00801914" w:rsidRPr="00293B82" w:rsidRDefault="00801914" w:rsidP="00801914">
      <w:pPr>
        <w:ind w:left="851" w:right="1089"/>
        <w:jc w:val="both"/>
        <w:rPr>
          <w:rFonts w:asciiTheme="majorBidi" w:hAnsiTheme="majorBidi" w:cstheme="majorBidi"/>
          <w:i/>
          <w:iCs/>
          <w:color w:val="000000" w:themeColor="text1"/>
          <w:sz w:val="24"/>
          <w:szCs w:val="24"/>
        </w:rPr>
      </w:pPr>
    </w:p>
    <w:p w14:paraId="53412E3A" w14:textId="236845AB" w:rsidR="00801914" w:rsidRPr="00293B82" w:rsidRDefault="00801914" w:rsidP="00801914">
      <w:pPr>
        <w:ind w:left="1985" w:right="1089" w:hanging="1134"/>
        <w:jc w:val="both"/>
        <w:rPr>
          <w:rFonts w:asciiTheme="majorBidi" w:hAnsiTheme="majorBidi" w:cstheme="majorBidi"/>
          <w:i/>
          <w:iCs/>
          <w:color w:val="000000" w:themeColor="text1"/>
          <w:sz w:val="24"/>
          <w:szCs w:val="24"/>
        </w:rPr>
      </w:pPr>
      <w:r w:rsidRPr="00293B82">
        <w:rPr>
          <w:rFonts w:asciiTheme="majorBidi" w:hAnsiTheme="majorBidi" w:cstheme="majorBidi"/>
          <w:b/>
          <w:bCs/>
          <w:i/>
          <w:iCs/>
          <w:color w:val="000000" w:themeColor="text1"/>
          <w:sz w:val="24"/>
          <w:szCs w:val="24"/>
        </w:rPr>
        <w:t>Keywords</w:t>
      </w:r>
      <w:r w:rsidRPr="00293B82">
        <w:rPr>
          <w:rFonts w:asciiTheme="majorBidi" w:hAnsiTheme="majorBidi" w:cstheme="majorBidi"/>
          <w:i/>
          <w:iCs/>
          <w:color w:val="000000" w:themeColor="text1"/>
          <w:sz w:val="24"/>
          <w:szCs w:val="24"/>
        </w:rPr>
        <w:t xml:space="preserve">: </w:t>
      </w:r>
      <w:r w:rsidRPr="00801914">
        <w:rPr>
          <w:rFonts w:asciiTheme="majorBidi" w:hAnsiTheme="majorBidi" w:cstheme="majorBidi"/>
          <w:i/>
          <w:iCs/>
          <w:color w:val="000000" w:themeColor="text1"/>
          <w:sz w:val="24"/>
          <w:szCs w:val="24"/>
        </w:rPr>
        <w:t>Financial Behavior; Financial Fraud Tendency; Internal Locus of Control; Village Officials</w:t>
      </w:r>
      <w:r w:rsidRPr="00293B82">
        <w:rPr>
          <w:rFonts w:asciiTheme="majorBidi" w:hAnsiTheme="majorBidi" w:cstheme="majorBidi"/>
          <w:i/>
          <w:iCs/>
          <w:color w:val="000000" w:themeColor="text1"/>
          <w:sz w:val="24"/>
          <w:szCs w:val="24"/>
        </w:rPr>
        <w:t>.</w:t>
      </w:r>
    </w:p>
    <w:p w14:paraId="069742F0" w14:textId="77777777" w:rsidR="00801914" w:rsidRPr="00D31E75" w:rsidRDefault="00801914" w:rsidP="00801914">
      <w:pPr>
        <w:jc w:val="both"/>
        <w:rPr>
          <w:rFonts w:asciiTheme="majorBidi" w:hAnsiTheme="majorBidi" w:cstheme="majorBidi"/>
          <w:color w:val="000000" w:themeColor="text1"/>
          <w:sz w:val="24"/>
          <w:szCs w:val="24"/>
        </w:rPr>
      </w:pPr>
    </w:p>
    <w:p w14:paraId="73EF98D2" w14:textId="77777777" w:rsidR="00801914" w:rsidRPr="00D31E75" w:rsidRDefault="00801914" w:rsidP="00801914">
      <w:pPr>
        <w:tabs>
          <w:tab w:val="left" w:pos="851"/>
        </w:tabs>
        <w:rPr>
          <w:rFonts w:asciiTheme="majorBidi" w:hAnsiTheme="majorBidi" w:cstheme="majorBidi"/>
          <w:color w:val="000000" w:themeColor="text1"/>
          <w:sz w:val="24"/>
          <w:szCs w:val="24"/>
        </w:rPr>
      </w:pPr>
      <w:r w:rsidRPr="00D31E75">
        <w:rPr>
          <w:rFonts w:asciiTheme="majorBidi" w:hAnsiTheme="majorBidi" w:cstheme="majorBidi"/>
          <w:b/>
          <w:bCs/>
          <w:color w:val="000000" w:themeColor="text1"/>
          <w:sz w:val="24"/>
          <w:szCs w:val="24"/>
        </w:rPr>
        <w:tab/>
      </w:r>
    </w:p>
    <w:p w14:paraId="49C6B3DD" w14:textId="77777777" w:rsidR="00801914" w:rsidRDefault="00801914" w:rsidP="00801914">
      <w:pPr>
        <w:pBdr>
          <w:top w:val="nil"/>
          <w:left w:val="nil"/>
          <w:bottom w:val="nil"/>
          <w:right w:val="nil"/>
          <w:between w:val="nil"/>
        </w:pBdr>
        <w:spacing w:line="36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INTRODUCTION</w:t>
      </w:r>
    </w:p>
    <w:p w14:paraId="0678A841" w14:textId="4FD0A956" w:rsidR="00801914" w:rsidRPr="009546FB"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9546FB">
        <w:rPr>
          <w:rFonts w:ascii="Times New Roman" w:hAnsi="Times New Roman"/>
          <w:sz w:val="24"/>
          <w:szCs w:val="24"/>
        </w:rPr>
        <w:t>The threat of fraud is one of the most pressing challenges faced by various types of organizations, both in the public and business sectors</w:t>
      </w:r>
      <w:r w:rsidRPr="009546FB">
        <w:rPr>
          <w:rFonts w:ascii="Times New Roman" w:eastAsia="Times New Roman" w:hAnsi="Times New Roman"/>
          <w:sz w:val="24"/>
          <w:szCs w:val="24"/>
          <w:lang w:eastAsia="en-ID"/>
        </w:rPr>
        <w:t xml:space="preserve">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{"citationItems":[{"id":"ITEM-1","itemData":{"author":[{"dropping-particle":"","family":"Rahmarta","given":"Vandy","non-dropping-particle":"","parse-names":false,"suffix":""},{"dropping-particle":"","family":"Pontoh","given":"Grace T","non-dropping-particle":"","parse-names":false,"suffix":""},{"dropping-particle":"","family":"Said","given":"Darwis","non-dropping-particle":"","parse-names":false,"suffix":""}],"container-title":"Substansi: Sumber Artikel Akuntansi Auditing dan Keuangan Vokasi","id":"ITEM-1","issue":"1","issued":{"date-parts":[["2024"]]},"page":"28-43","title":"Kekuatan Organisasional Dan Sistem Dalam Pencegahan Fraud: Suatu Tinjauan System Literature Review","type":"article-journal","volume":"8"},"uris":["http://www.mendeley.com/documents/?uuid=7a9d6c7e-3ed3-4b7d-8fd9-a2521df7d7df"]}],"mendeley":{"formattedCitation":"(Rahmarta et al., 2024)","plainTextFormattedCitation":"(Rahmarta et al., 2024)","previouslyFormattedCitation":"(Rahmarta et al., 2024)"},"properties":{"noteIndex":0},"schema":"https://github.com/citation-style-language/schema/raw/master/csl-citation.json"}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(Rahmarta et al., 2024)</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This phenomenon not only inflicts substantial financial losses but also erodes public trust in governmental institutions and the business sector. Numerous surveys and reports indicate that the prevalence of fraud in Indonesia remains high. According to the Association of Certified Fraud Examiners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{"citationItems":[{"id":"ITEM-1","itemData":{"abstract":"On behalf of the ACFE and the greater anti-fraud community, I am pleased to present Occupational Fraud 2022: A Report to the Nations, the latest exploration by the ACFE into the factors and toll of occupational fraud. While this is our 12th edition of the report, this particular study is unique in that it explores frauds that were investigated largely during a global pandemic-a time when anti-fraud professionals, like so many others, were challenged to find new, innovative ways to conduct much of their work. And yet, our research shows how successfully Certified Fraud Examiners around the world were able to adapt. Even during this time of disruption, occupational frauds were detected more quickly and losses were limited when compared to prior years. While we always appreciate the participation and dedication of CFEs, this year we are especially grateful for their contributions to this study, which highlights the work they have collectively undertaken during such a challenging time. Thanks to these anti-fraud experts, our research provides valuable information about the costs, methods, perpetrators, and outcomes of occupational fraud schemes derived from more than 2.000 real cases of fraud affecting organizations in 133 countries and 23 industries. We know that to effectively confront any problem-but certainly one this immense and pervasive-we must first thoroughly understand it. The inaugural Report to the Nation was launched in 1996 by ACFE Founder, Dr. Joseph T. Wells, CFE, CPA, because he recognized the need to provide this type of foundational information about occupational fraud. In the decades that followed, we have continued this important line of study to improve our profession's ability to prevent, detect, and respond to fraud. It is my hope that this report not only honors the CFEs who pushed through the challenges of the pandemic and shared their experiences in investigating fraud during that time, but also provides actionable insight for business leaders, the public, and the anti-fraud community as a whole on how to effectively protect organizations from the harms of occupational fraud. Bruce Dorris, J.D., CFE, CPA President and CEO, Association of Certified Fraud Examiners FOREWORD FOREWORD Occupational Fraud 2022: A Report to the Nations","author":[{"dropping-particle":"","family":"ACFE","given":"","non-dropping-particle":"","parse-names":false,"suffix":""}],"container-title":"Association of Certified Fraud Examiners","id":"ITEM-1","issued":{"date-parts":[["2022"]]},"page":"1-96","title":"Occupational Fraud 2022: A Report To The Nations","type":"article-journal"},"uris":["http://www.mendeley.com/documents/?uuid=5609aaf4-c084-4d76-8b82-f02bcade3880"]}],"mendeley":{"formattedCitation":"(ACFE, 2022)","plainTextFormattedCitation":"(ACFE, 2022)","previouslyFormattedCitation":"(ACFE, 2022)"},"properties":{"noteIndex":0},"schema":"https://github.com/citation-style-language/schema/raw/master/csl-citation.json"}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(ACFE, 2022)</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Indonesia ranked fourth in the Asia–Pacific region in terms of the number of reported fraud cases, with 23 cases recorded in 2022. The most prevalent type of fraud in Indonesia is corruption, accounting for 64% of all cases, followed by asset misappropriation at 28.9%, and financial statement fraud at 6.7%. However in 2023, Indonesian Corruption Watch (ICW) recorded a sharp increase with 791 cases involving 1,695 suspects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uthor":[{"dropping-particle":"","family":"Anandya","given":"Diky","non-dropping-particle":"","parse-names":false,"suffix":""},{"dropping-particle":"","family":"Ramadhana","given":"Kurnia","non-dropping-particle":"","parse-names":false,"suffix":""}],"container-title":"Indonesia Corruption Watch","id":"ITEM-1","issued":{"date-parts":[["2024"]]},"page":"1-51","title":"Laporan Hasil Pemantauan Tren Korupsi Tahun 2023","type":"article-journal"},"uris":["http://www.mendeley.com/documents/?uuid=a9328040-69be-4978-b9b3-566506a04ec1"]}],"mendeley":{"formattedCitation":"(Anandya &amp; Ramadhana, 2024)","plainTextFormattedCitation":"(Anandya &amp; Ramadhana, 2024)","previouslyFormattedCitation":"(Anandya &amp; Ramadhana, 2024)"},"properties":{"noteIndex":0},"schema":"https://github.com/citation-style-language/schema/raw/master/csl-citation.json"}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(Anandya &amp; Ramadhana, 2024)</w:t>
      </w:r>
      <w:r w:rsidRPr="009546FB">
        <w:rPr>
          <w:rFonts w:ascii="Times New Roman" w:eastAsia="Times New Roman" w:hAnsi="Times New Roman"/>
          <w:sz w:val="24"/>
          <w:szCs w:val="24"/>
          <w:lang w:eastAsia="en-ID"/>
        </w:rPr>
        <w:fldChar w:fldCharType="end"/>
      </w:r>
      <w:r w:rsidR="00FD36AD">
        <w:rPr>
          <w:rFonts w:ascii="Times New Roman" w:eastAsia="Times New Roman" w:hAnsi="Times New Roman"/>
          <w:sz w:val="24"/>
          <w:szCs w:val="24"/>
          <w:lang w:eastAsia="en-ID"/>
        </w:rPr>
        <w:t>.</w:t>
      </w:r>
    </w:p>
    <w:p w14:paraId="5DDB799D" w14:textId="77777777" w:rsidR="00801914" w:rsidRPr="009546FB"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{"citationItems":[{"id":"ITEM-1","itemData":{"abstract":"On behalf of the ACFE and the greater anti-fraud community, I am pleased to present Occupational Fraud 2022: A Report to the Nations, the latest exploration by the ACFE into the factors and toll of occupational fraud. While this is our 12th edition of the report, this particular study is unique in that it explores frauds that were investigated largely during a global pandemic-a time when anti-fraud professionals, like so many others, were challenged to find new, innovative ways to conduct much of their work. And yet, our research shows how successfully Certified Fraud Examiners around the world were able to adapt. Even during this time of disruption, occupational frauds were detected more quickly and losses were limited when compared to prior years. While we always appreciate the participation and dedication of CFEs, this year we are especially grateful for their contributions to this study, which highlights the work they have collectively undertaken during such a challenging time. Thanks to these anti-fraud experts, our research provides valuable information about the costs, methods, perpetrators, and outcomes of occupational fraud schemes derived from more than 2.000 real cases of fraud affecting organizations in 133 countries and 23 industries. We know that to effectively confront any problem-but certainly one this immense and pervasive-we must first thoroughly understand it. The inaugural Report to the Nation was launched in 1996 by ACFE Founder, Dr. Joseph T. Wells, CFE, CPA, because he recognized the need to provide this type of foundational information about occupational fraud. In the decades that followed, we have continued this important line of study to improve our profession's ability to prevent, detect, and respond to fraud. It is my hope that this report not only honors the CFEs who pushed through the challenges of the pandemic and shared their experiences in investigating fraud during that time, but also provides actionable insight for business leaders, the public, and the anti-fraud community as a whole on how to effectively protect organizations from the harms of occupational fraud. Bruce Dorris, J.D., CFE, CPA President and CEO, Association of Certified Fraud Examiners FOREWORD FOREWORD Occupational Fraud 2022: A Report to the Nations","author":[{"dropping-particle":"","family":"ACFE","given":"","non-dropping-particle":"","parse-names":false,"suffix":""}],"container-title":"Association of Certified Fraud Examiners","id":"ITEM-1","issued":{"date-parts":[["2022"]]},"page":"1-96","title":"Occupational Fraud 2022: A Report To The Nations","type":"article-journal"},"uris":["http://www.mendeley.com/documents/?uuid=5609aaf4-c084-4d76-8b82-f02bcade3880"]}],"mendeley":{"formattedCitation":"(ACFE, 2022)","manualFormatting":"ACFE (2022)","plainTextFormattedCitation":"(ACFE, 2022)","previouslyFormattedCitation":"(ACFE, 2022)"},"properties":{"noteIndex":0},"schema":"https://github.com/citation-style-language/schema/raw/master/csl-citation.json"}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ACFE (2022)</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divides fraud into three main categories: asset misappropriation, corruption, and financial statement fraud. Although the incidence of financial statement fraud </w:t>
      </w:r>
      <w:r w:rsidRPr="009546FB">
        <w:rPr>
          <w:rFonts w:ascii="Times New Roman" w:eastAsia="Times New Roman" w:hAnsi="Times New Roman"/>
          <w:sz w:val="24"/>
          <w:szCs w:val="24"/>
          <w:lang w:eastAsia="en-ID"/>
        </w:rPr>
        <w:lastRenderedPageBreak/>
        <w:t xml:space="preserve">is relatively minor compared to asset misappropriation and corruption, the losses incurred are greater. Financial fraud refers to the manipulation or misuse of financial resources for personal gain through illegal or unethical means. Fraud frequently entails the document forgery, budget misuse, embezzlement of funds, and financial statement fraud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{"citationItems":[{"id":"ITEM-1","itemData":{"ISBN":"9781119351986","author":[{"dropping-particle":"","family":"Wells","given":"Joseph T","non-dropping-particle":"","parse-names":false,"suffix":""}],"edition":"5th Editio","id":"ITEM-1","issued":{"date-parts":[["2017"]]},"number-of-pages":"432","publisher":"John Wiley &amp; Son Publishing","publisher-place":"New Jersey","title":"Corporate Fraud Handbook: Prevention and Detection","type":"book"},"uris":["http://www.mendeley.com/documents/?uuid=506a8676-1494-4d55-b4d5-983d3315c93f"]}],"mendeley":{"formattedCitation":"(Wells, 2017)","plainTextFormattedCitation":"(Wells, 2017)","previouslyFormattedCitation":"(Wells, 2017)"},"properties":{"noteIndex":0},"schema":"https://github.com/citation-style-language/schema/raw/master/csl-citation.json"}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(Wells, 2017)</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w:t>
      </w:r>
    </w:p>
    <w:p w14:paraId="47D5581F" w14:textId="77777777" w:rsidR="00801914" w:rsidRPr="009546FB"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9546FB">
        <w:rPr>
          <w:rFonts w:ascii="Times New Roman" w:eastAsia="Times New Roman" w:hAnsi="Times New Roman"/>
          <w:sz w:val="24"/>
          <w:szCs w:val="24"/>
          <w:lang w:eastAsia="en-ID"/>
        </w:rPr>
        <w:t xml:space="preserve">The tendency toward financial fraud can have serious consequences beyond financial losses in the service sector, both at organizational level and for individual well-being. Organizational impacts may include damage to an institution’s reputation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{"citationItems":[{"id":"ITEM-1","itemData":{"abstract":"Fraud is a deliberate action (or failure to action) with the intent to obtain an unlawful advantage, either for oneself or for a company that violates the law or to deny the victim's rights. Types of fraud include tax fraud, credit card fraud, securities fraud, financial statement fraud, asset misappropriation. The impact of fraud can arise from all types of fraud, whether committed by oneself or by a criminal group. This study aims to determine the impact of fraudulent or fraudulent behavior in the financial and non-financial fields on public bodies. The purpose of this study is to understand the impact of harm on fraudulent acts, enable public bodies to prevent or reduce the impact of fraud and educate employees and stakeholders about the importance of fraud or fraud prevention measures. The method used in this study is a form of library research obtained from the Association of Certified Fraud Examiners, PricewaterhouseCoopers, Indonesia Corruption Watch, and the Corruption Eradication Commission. The results of this research indicated that corruption cases are the most detrimental actions in Indonesia, losses such as direct financial losses, penalties, responses and there are also immeasurable cost losses such as brand damage, loss of morale and lost future opportunities.","author":[{"dropping-particle":"","family":"Christian","given":"Natalis","non-dropping-particle":"","parse-names":false,"suffix":""},{"dropping-particle":"","family":"Veronica","given":"Joelyn","non-dropping-particle":"","parse-names":false,"suffix":""}],"container-title":"Jurnal Riset Akuntansi Mercu Buana","id":"ITEM-1","issue":"1","issued":{"date-parts":[["2022"]]},"page":"91-102","title":"Dampak Kecurangan Pada Bidang Keuangan Dan Non-Keuangan Terhadap Jenis Fraud Di Indonesia","type":"article-journal","volume":"8"},"uris":["http://www.mendeley.com/documents/?uuid=db534774-027f-4bc5-b519-76ec083a0d6a"]}],"mendeley":{"formattedCitation":"(Christian &amp; Veronica, 2022)","plainTextFormattedCitation":"(Christian &amp; Veronica, 2022)","previouslyFormattedCitation":"(Christian &amp; Veronica, 2022)"},"properties":{"noteIndex":0},"schema":"https://github.com/citation-style-language/schema/raw/master/csl-citation.json"}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(Christian &amp; Veronica, 2022)</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disruption of organizational performance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uthor":[{"dropping-particle":"","family":"Nur’Illiyyien","given":"","non-dropping-particle":"","parse-names":false,"suffix":""},{"dropping-particle":"","family":"Haliah","given":"","non-dropping-particle":"","parse-names":false,"suffix":""},{"dropping-particle":"","family":"Kusumawati","given":"Andi","non-dropping-particle":"","parse-names":false,"suffix":""}],"id":"ITEM-1","issued":{"date-parts":[["2023"]]},"page":"259-265","title":"Reinventing Government Dalam Pencegahanfraudpadasektorpublik","type":"article-journal","volume":"6"},"uris":["http://www.mendeley.com/documents/?uuid=d4642325-9929-4049-882d-9401840cc8e0"]}],"mendeley":{"formattedCitation":"(Nur’Illiyyien et al., 2023)","plainTextFormattedCitation":"(Nur’Illiyyien et al., 2023)","previouslyFormattedCitation":"(Nur’Illiyyien et al., 2023)"},"properties":{"noteIndex":0},"schema":"https://github.com/citation-style-language/schema/raw/master/csl-citation.json"}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(Nur’Illiyyien et al., 2023)</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and disruption of services to the public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{"citationItems":[{"id":"ITEM-1","itemData":{"author":[{"dropping-particle":"","family":"Dewantara","given":"Angger","non-dropping-particle":"","parse-names":false,"suffix":""}],"container-title":"DJKN","id":"ITEM-1","issued":{"date-parts":[["2022"]]},"title":"Hindari Fraud di Sektor Publik, Tingkatkan Pelayanan kepada Stakeholders","type":"webpage"},"uris":["http://www.mendeley.com/documents/?uuid=80e59c37-299a-41f3-9569-6efe1bbdd6b5"]},{"id":"ITEM-2","itemData":{"author":[{"dropping-particle":"","family":"Azdi","given":"Achmad Rifqi","non-dropping-particle":"","parse-names":false,"suffix":""},{"dropping-particle":"","family":"Nurwahid","given":"Raul Hidayat","non-dropping-particle":"","parse-names":false,"suffix":""}],"id":"ITEM-2","issue":"02","issued":{"date-parts":[["2024"]]},"page":"776-791","title":"Korupsi Dan Kegagalan Etika Dalam Administrasi Publik : Dampak Pada Pelayanan Masyarakat","type":"article-journal","volume":"11"},"uris":["http://www.mendeley.com/documents/?uuid=6a053e1f-dd48-4590-9567-3313b3315e4e"]}],"mendeley":{"formattedCitation":"(Azdi &amp; Nurwahid, 2024; Dewantara, 2022)","plainTextFormattedCitation":"(Azdi &amp; Nurwahid, 2024; Dewantara, 2022)","previouslyFormattedCitation":"(Azdi &amp; Nurwahid, 2024; Dewantara, 2022)"},"properties":{"noteIndex":0},"schema":"https://github.com/citation-style-language/schema/raw/master/csl-citation.json"}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(Azdi &amp; Nurwahid, 2024; Dewantara, 2022)</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At the individual level, the consequences can include mental and physical health issues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{"citationItems":[{"id":"ITEM-1","itemData":{"abstract":"Fraud is a deliberate action (or failure to action) with the intent to obtain an unlawful advantage, either for oneself or for a company that violates the law or to deny the victim's rights. Types of fraud include tax fraud, credit card fraud, securities fraud, financial statement fraud, asset misappropriation. The impact of fraud can arise from all types of fraud, whether committed by oneself or by a criminal group. This study aims to determine the impact of fraudulent or fraudulent behavior in the financial and non-financial fields on public bodies. The purpose of this study is to understand the impact of harm on fraudulent acts, enable public bodies to prevent or reduce the impact of fraud and educate employees and stakeholders about the importance of fraud or fraud prevention measures. The method used in this study is a form of library research obtained from the Association of Certified Fraud Examiners, PricewaterhouseCoopers, Indonesia Corruption Watch, and the Corruption Eradication Commission. The results of this research indicated that corruption cases are the most detrimental actions in Indonesia, losses such as direct financial losses, penalties, responses and there are also immeasurable cost losses such as brand damage, loss of morale and lost future opportunities.","author":[{"dropping-particle":"","family":"Christian","given":"Natalis","non-dropping-particle":"","parse-names":false,"suffix":""},{"dropping-particle":"","family":"Veronica","given":"Joelyn","non-dropping-particle":"","parse-names":false,"suffix":""}],"container-title":"Jurnal Riset Akuntansi Mercu Buana","id":"ITEM-1","issue":"1","issued":{"date-parts":[["2022"]]},"page":"91-102","title":"Dampak Kecurangan Pada Bidang Keuangan Dan Non-Keuangan Terhadap Jenis Fraud Di Indonesia","type":"article-journal","volume":"8"},"uris":["http://www.mendeley.com/documents/?uuid=db534774-027f-4bc5-b519-76ec083a0d6a"]}],"mendeley":{"formattedCitation":"(Christian &amp; Veronica, 2022)","plainTextFormattedCitation":"(Christian &amp; Veronica, 2022)","previouslyFormattedCitation":"(Christian &amp; Veronica, 2022)"},"properties":{"noteIndex":0},"schema":"https://github.com/citation-style-language/schema/raw/master/csl-citation.json"}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(Christian &amp; Veronica, 2022)</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and even termination of employment and legal prosecution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{"citationItems":[{"id":"ITEM-1","itemData":{"ISSN":"2621-5306","abstract":"… Fraud atau kecurangan adalah suatu kejadian yang cukup … Tingkat praktik kejahatan kecurangan dalam perekonomian … Dampak yang ditimbulkan oleh fraud atau kecurangan …","author":[{"dropping-particle":"","family":"Christian","given":"Natalis","non-dropping-particle":"","parse-names":false,"suffix":""},{"dropping-particle":"","family":"Ricardo","given":"Piere","non-dropping-particle":"","parse-names":false,"suffix":""}],"container-title":"Jurnal Ilmiah MEA (Manajemen, Ekonomi, dan Akuntansi)","id":"ITEM-1","issue":"2","issued":{"date-parts":[["2022"]]},"page":"102-117","title":"Kajian Impact of Fraud: Nasional Dan Internasional","type":"article-journal","volume":"6"},"uris":["http://www.mendeley.com/documents/?uuid=db72f097-090b-457d-826c-85750920517b"]}],"mendeley":{"formattedCitation":"(Christian &amp; Ricardo, 2022)","plainTextFormattedCitation":"(Christian &amp; Ricardo, 2022)","previouslyFormattedCitation":"(Christian &amp; Ricardo, 2022)"},"properties":{"noteIndex":0},"schema":"https://github.com/citation-style-language/schema/raw/master/csl-citation.json"}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(Christian &amp; Ricardo, 2022)</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w:t>
      </w:r>
    </w:p>
    <w:p w14:paraId="5EA2802A" w14:textId="77777777" w:rsidR="00801914" w:rsidRPr="009546FB"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9546FB">
        <w:rPr>
          <w:rFonts w:ascii="Times New Roman" w:eastAsia="Times New Roman" w:hAnsi="Times New Roman"/>
          <w:sz w:val="24"/>
          <w:szCs w:val="24"/>
          <w:lang w:eastAsia="en-ID"/>
        </w:rPr>
        <w:t xml:space="preserve">Factors driving individuals to engage in financial fraud according to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{"citationItems":[{"id":"ITEM-1","itemData":{"abstract":"WHY, AFTER YEARS OF HONEST WORK, DOES A MAN SUDDENLY START DIPPING INTO COMPANY FUNDS? THIS REPRINT OF A 1953 CLASSIC STUDY BY DONALD CRESSEY OFFERS A SOCIOLOGICAL THEORY WHICH IDENTIFIES FACTORS LEADING TO EMBEZZLEMENT. THE STUDY WAS LIMITED TO TRUST VIOLATION CASES, WHERE THE EMBEZZLER HAD ACCEPTED A POSITION OF TRUST IN GOOD FAITH, AND HAD VIOLATED THAT TRUST BY COMMITTING A CRIME. CRESSEY EXAMINED CASES COLLECTED BY OTHER INVESTIGATORS AND INTERVIEWED CONVICTED MEN WHO RELATED IN THEIR OWN WORDS HOW THEY CAME TO COMMIT THEIR CRIMES. IN THESE ACCOUNTS HE DISCOVERED THREE CIRCUMSTANCES COMMON TO CASES OF TRUST VIOLATION. FIRST, THE POTENTIAL EMBEZZLER HAD A FINANCIAL PROBLEM WHICH HE FELT UNABLE TO SHARE WITH OTHER PEOPLE. SECOND, HE SAW THE VIOLATION OF HIS TRUST AS AN OPPORTUNITY TO SOLVE HIS FINANCIAL PROBLEM. AND THIRD, HE RATIONALIZED THE ACT TO HIMSELF BEFORE COMMISSION. NUMEROUS CASE HISTORIES VIVIDLY ILLUSTRATE THESE CIRCUMSTANCES AND GIVE THE READER A VALUABLE INSIGHT INTO THE EMBEZZLER'S SITUATION AS HE HIMSELF SEES IT. THIS WELL-ORGANIZED, CLEARLY WRITTEN STUDY SHOULD INTEREST THE AVERAGE CITIZEN AS WELL AS SOCIOLOGISTS AND LAW ENFORCEMENT PROFESSIONALS.","author":[{"dropping-particle":"","family":"Cressey","given":"Donald Ray","non-dropping-particle":"","parse-names":false,"suffix":""}],"container-title":"Free Press","id":"ITEM-1","issued":{"date-parts":[["1953"]]},"title":"Other people's money; a study of the social psychology of","type":"book"},"uris":["http://www.mendeley.com/documents/?uuid=91cf8b9c-7e62-3f17-a88f-7f91b0bb3bf0"]}],"mendeley":{"formattedCitation":"(Cressey, 1953)","manualFormatting":"Cressey (1953)","plainTextFormattedCitation":"(Cressey, 1953)","previouslyFormattedCitation":"(Cressey, 1953)"},"properties":{"noteIndex":0},"schema":"https://github.com/citation-style-language/schema/raw/master/csl-citation.json"}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Cressey (1953)</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include financial pressure, opportunity, and rationalization. Financial pressure may arise from heightened economic demands or a lifestyle that does not align with one's capabilities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{"citationItems":[{"id":"ITEM-1","itemData":{"DOI":"10.24167/psidim.v20i2.3693","ISSN":"1411-6073","abstract":"Abstrak:  Penelitian ini bertujuan untuk mengetahui lebih dalam fenomena stres kerja pada jurnalis media daring  rubrik  kriminal  dengan  mengidentifikasi  sumber,  dampak  dan  strategi  mengatasi  stres kerja mereka. Hasil penelitian dengan tiga informan menunjukkan bahwa, terdapat kasus-kasus yang  mampu  merepresentasi  ragam  masalah  stres  kerja  pada  jurnalis  media  daring  rubrik kriminal secara unik. Sumber stres utama berasal dari rutinitas dan lingkungan yang sama dan tuntutan profesi. Stres kerja tersebut kemudian memicu keinginan mereka untuk mengundurkan diri dari pekerjaan. Ketiga informan juga mengungkapkan ada beberapa strategi yang dilakukan untuk  mengatasi  stres,  namun  hanya  bersifat  meredakan  atau  meminimalkan  stres  yang dirasakan  pada  hari  itu.  Jurnalis  media  daring  rubrik  kriminal  berperan  penting  dalam menyajikan  berita  akurat  dan  relevan  demi  kepentingan  dan  keamanan  masyarakat.  Dengan demikian,  hasil  penelitian  ini  dapat  dimanfaatkan  oleh  individu  maupun  perusahaan  untuk memahami stres kerja secara mendalam demi kesejahteraan emosional dan psikologis pekerja.   Kata kunci:  Jurnalis, media daring, rubrik kriminal, stres kerja, strategi koping stres.         Abstract:  The purpose of this study is to investigate the phenomena of work stress among crime journalists in  online media  companies  by  identifying  the  sources,  the  effects  and  the  work  stress  coping strategies of each participant. Result from three journalists indicated high level of stress and burned out. More data and information were collected through in-depth interviews.  The three crime journalists revealed that similar work environment and routine, and job demands as their aggravating  factors  of  the  source  of work  stress.  The  results  also  confirmed  that  work  stress consequently  encouraged  them  to  resign  as  journalists.  The  three  participants  also  revealed several strategies that were employed to cope with stress. Unfortunately, these strategies only relieve or minimize the stress on that day. Crime journalists at online media companies play an important role in presenting accurate and relevant information for the sake of public’s safety and convenience. Therefore, the results of this study is beneficial for helping the crime journalists and  online media  company  to  better  understand  work  stress  and  appropriate  use  of  coping strategies concerning the emotional and psychological…","author":[{"dropping-particle":"","family":"Arianti","given":"Widia","non-dropping-particle":"","parse-names":false,"suffix":""},{"dropping-particle":"","family":"Irwanto","given":"Irwanto","non-dropping-particle":"","parse-names":false,"suffix":""}],"container-title":"PSIKODIMENSIA","id":"ITEM-1","issue":"2","issued":{"date-parts":[["2021"]]},"title":"Stres Kerja: Penyebab, Dampak dan Strategi Mengatasinya (Studi Kasus Jurnalis Media Daring Rubrik Kriminal)","type":"article-journal","volume":"20"},"uris":["http://www.mendeley.com/documents/?uuid=8bf54a1d-15a8-3dbc-9574-4b0de7a17a56"]}],"mendeley":{"formattedCitation":"(Arianti &amp; Irwanto, 2021)","plainTextFormattedCitation":"(Arianti &amp; Irwanto, 2021)","previouslyFormattedCitation":"(Arianti &amp; Irwanto, 2021)"},"properties":{"noteIndex":0},"schema":"https://github.com/citation-style-language/schema/raw/master/csl-citation.json"}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(Arianti &amp; Irwanto, 2021)</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often compelling individuals to seek illegal means to fulfill their needs. Furthermore, research findings indicate that unhealthy financial behavior, such as living beyond one’s means, exacerbate financial pressure, which ultimately motivate motivates individuals to engage in fraud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{"citationItems":[{"id":"ITEM-1","itemData":{"DOI":"10.1111/j.1745-6606.2005.00016.x","ISSN":"00220078","abstract":"The current research examines the relationship between consumer financial knowledge, income, and locus of control on financial behavior. Ethnicity is included as a potential moderator of the effects of these three variables on financial behavior. Findings suggest that consumers' propensity to save, budget, and control spending depends partly on their level of perceived control over outcomes as well as knowledge and financial resources. Evidence of race and ethnicity as moderators is mixed. Copyright 2005 by The American Council on Consumer Interests.","author":[{"dropping-particle":"","family":"Perry","given":"Vanessa G.","non-dropping-particle":"","parse-names":false,"suffix":""},{"dropping-particle":"","family":"Morris","given":"Marlene D.","non-dropping-particle":"","parse-names":false,"suffix":""}],"container-title":"Journal of Consumer Affairs","id":"ITEM-1","issue":"2","issued":{"date-parts":[["2005"]]},"title":"Who is in control? the role of self-perception, knowledge, and income in explaining consumer financial behavior","type":"article","volume":"39"},"uris":["http://www.mendeley.com/documents/?uuid=216f0cee-2d02-3715-b712-e6cf43edd1aa"]},{"id":"ITEM-2","itemData":{"DOI":"10.1108/JFRC-01-2021-0005","ISSN":"17400279","abstract":"Purpose: This study aims to enlist the red flag behaviors exhibited in financial services frauds. Design/methodology/approach: A pluralistic mixed methodology was adopted in this study. Data collected via semi-structured interviews were coded, quantified and subjected to descriptive analysis to identify the most frequently exhibited red flag behaviors in financial services frauds. The relative risk of exhibition of the identified red flag behaviors was assessed by intuitively comparing the red flag behaviors identified in financial services frauds (experimental group, n = 24) with the red flag behaviors identified in a heterogeneous control sample of non-financial services frauds (control group, n = 28). Findings: This study identifies six red flag behaviors likely to be more frequently exhibited in financial services frauds than in non-financial services frauds. Practical implications: Results of this study can be used to develop a typical behavioral profile of a financial services fraud perpetrator. Active communication of this profile in fraud awareness training can help make fraud conspicuous in the financial services industry. Originality/value: This study is unique because human behavior as a possible fraud indicator is an under-researched area. Further, this study examines first level of evidence and attempts an ex-post analysis of actual red flag behaviors exhibited in acknowledged fraud cases in which the perpetrator/perpetrators has/have been clearly identified.","author":[{"dropping-particle":"","family":"Sandhu","given":"Namrata","non-dropping-particle":"","parse-names":false,"suffix":""}],"container-title":"Journal of Financial Regulation and Compliance","id":"ITEM-2","issue":"2","issued":{"date-parts":[["2022"]]},"title":"Red flag behaviors in financial services frauds: a mixed-methods study","type":"article-journal","volume":"30"},"uris":["http://www.mendeley.com/documents/?uuid=c266de79-63e9-35d3-b61f-a693ecba8478"]}],"mendeley":{"formattedCitation":"(Perry &amp; Morris, 2005; Sandhu, 2022)","plainTextFormattedCitation":"(Perry &amp; Morris, 2005; Sandhu, 2022)","previouslyFormattedCitation":"(Perry &amp; Morris, 2005; Sandhu, 2022)"},"properties":{"noteIndex":0},"schema":"https://github.com/citation-style-language/schema/raw/master/csl-citation.json"}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(Perry &amp; Morris, 2005; Sandhu, 2022)</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w:t>
      </w:r>
    </w:p>
    <w:p w14:paraId="1B1BC279" w14:textId="77777777" w:rsidR="00801914" w:rsidRPr="009546FB"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9546FB">
        <w:rPr>
          <w:rFonts w:ascii="Times New Roman" w:eastAsia="Times New Roman" w:hAnsi="Times New Roman"/>
          <w:sz w:val="24"/>
          <w:szCs w:val="24"/>
          <w:lang w:eastAsia="en-ID"/>
        </w:rPr>
        <w:t xml:space="preserve">Financial behavior encompasses psychological dimensions that play a role in financial decision-making, including financial management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{"citationItems":[{"id":"ITEM-1","itemData":{"DOI":"10.22219/jep.v22i01.29654","ISSN":"1693-2595","abstract":"Good financial behavior will encourage the creation of financial satisfaction and can be a factor that will increase financial well-being. Financial satisfaction can include one's life satisfaction with financial amounts. Financial well-being is the possession of sufficient resources for a comfortable life. This study aims to examine financial behavior that influences financial well-being, both directly and indirectly. The selected population is stock investors. Investors are selected using quota sampling. The data analysis used is path analysis. The results of the study report that financial behavior has a significant effect on financial satisfaction and well-being, but financial behavior does not affect financial well-being. Financial satisfaction mediates the impact of Financial behavior on Financial well-being.","author":[{"dropping-particle":"","family":"Subaida","given":"Ida","non-dropping-particle":"","parse-names":false,"suffix":""}],"container-title":"Jurnal Ekonomi Pembangunan","id":"ITEM-1","issue":"01","issued":{"date-parts":[["2024"]]},"page":"30-39","title":"The Influence of Financial Behavior on Financial Well-Being Through Financial Satisfaction","type":"article-journal","volume":"22"},"uris":["http://www.mendeley.com/documents/?uuid=0061f570-dfbf-41d5-b9ac-734021b0a004"]}],"mendeley":{"formattedCitation":"(Subaida, 2024)","plainTextFormattedCitation":"(Subaida, 2024)","previouslyFormattedCitation":"(Subaida, 2024)"},"properties":{"noteIndex":0},"schema":"https://github.com/citation-style-language/schema/raw/master/csl-citation.json"}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(Subaida, 2024)</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income allocation, financial planning, consumer behavior, and seeking information on financial literacy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{"citationItems":[{"id":"ITEM-1","itemData":{"DOI":"10.3390/su131910926","ISSN":"20711050","abstract":"This paper analyzes the effect of financial knowledge and confidence in shaping individual investment choices, sustainable debt behavior, and preferences for socially and environmentally responsible financial companies. Exploiting data from the “Italian Literacy and Financial Compe-tence Survey” (IACOFI) carried out by the Bank of Italy in early 2020, we address potential endoge-neity concerns in order to investigate the causal effect of objective financial knowledge on individual financial behaviors. To this aim, we perform endogenous probit regressions, using the respondent’s long-term planning attitude, the use of information and communication technology devices, and the financial knowledge of peers as additional instrumental variables. Our main empirical findings show that objective financial knowledge exerts a positive and significant effect on financial market participation and preferences for ethical financial companies. Moreover, we provide strong empirical evidence about the role of confidence biases on individual financial behaviors. In particular, overconfident individuals display a higher probability of making financial investments, experienc-ing losses due to investment fraud, and being over-indebted. Conversely, underconfident individuals exhibit suboptimal investment choices, but are less likely to engage in risky financial behaviors.","author":[{"dropping-particle":"","family":"Aristei","given":"David","non-dropping-particle":"","parse-names":false,"suffix":""},{"dropping-particle":"","family":"Gallo","given":"Manuela","non-dropping-particle":"","parse-names":false,"suffix":""}],"container-title":"Sustainability (Switzerland)","id":"ITEM-1","issue":"19","issued":{"date-parts":[["2021"]]},"title":"Financial knowledge, confidence, and sustainable financial behavior","type":"article-journal","volume":"13"},"uris":["http://www.mendeley.com/documents/?uuid=ba289ca4-879d-3c9c-9119-1f8503854b25"]}],"mendeley":{"formattedCitation":"(Aristei &amp; Gallo, 2021)","plainTextFormattedCitation":"(Aristei &amp; Gallo, 2021)","previouslyFormattedCitation":"(Aristei &amp; Gallo, 2021)"},"properties":{"noteIndex":0},"schema":"https://github.com/citation-style-language/schema/raw/master/csl-citation.json"}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(Aristei &amp; Gallo, 2021)</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Healthy financial behavior has been shown to enhance financial well-being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{"citationItems":[{"id":"ITEM-1","itemData":{"DOI":"10.1057/s41264-023-00234-8","ISSN":"14791846","abstract":"The high cost of living and prolonged lockdowns due to the COVID-19 pandemic made the financial well-being of individuals vulnerable, especially young adults. This paper examines the impact of financial behaviour on financial well-being (FWB) among young Malaysians during the COVID-19 pandemic. The study collected variable data on financial literacy, financial behaviour, financial socialisation, self-control, financial technology and FWB. To collect a representative sample of Malaysian young adults, a multi-stage random sampling method was used, and 360 young adults aged 18–29 years old completed the questionnaires. Structural equation modelling was adopted to investigate the factors influencing young adults' FWB. The empirical findings revealed a significant mediating effect of financial behaviour in the relationships between financial literacy, financial socialisation, self-control, financial technology, and FWB. The research concluded that the mediation analysis yields a clear and firm conclusion that financial behaviour is important in empowering young adults’ FWB. Thus, the present study adds value to the existing literature on the relationship between financial behaviour and FWB. Furthermore, the paper’s findings will assist government agencies and non-governmental organisations in developing outreach programmes for young adults per the strategies outlined in the Twelfth Malaysia Plan and the aspirations pledged in the Malaysian Youth Policy 2015–2035.","author":[{"dropping-particle":"","family":"Sabri","given":"Mohamad Fazli","non-dropping-particle":"","parse-names":false,"suffix":""},{"dropping-particle":"","family":"Anthony","given":"Mervin","non-dropping-particle":"","parse-names":false,"suffix":""},{"dropping-particle":"","family":"Law","given":"Siong Hook","non-dropping-particle":"","parse-names":false,"suffix":""},{"dropping-particle":"","family":"Rahim","given":"Husniyah Abdul","non-dropping-particle":"","parse-names":false,"suffix":""},{"dropping-particle":"","family":"Burhan","given":"Nik Ahmad Sufian","non-dropping-particle":"","parse-names":false,"suffix":""},{"dropping-particle":"","family":"Ithnin","given":"Muslimah","non-dropping-particle":"","parse-names":false,"suffix":""}],"container-title":"Journal of Financial Services Marketing","id":"ITEM-1","issue":"3","issued":{"date-parts":[["2024"]]},"title":"Impact of financial behaviour on financial well-being: evidence among young adults in Malaysia","type":"article-journal","volume":"29"},"uris":["http://www.mendeley.com/documents/?uuid=10ad8bed-a50c-3025-ade2-adb86de4552e"]}],"mendeley":{"formattedCitation":"(Sabri et al., 2024)","plainTextFormattedCitation":"(Sabri et al., 2024)","previouslyFormattedCitation":"(Sabri et al., 2024)"},"properties":{"noteIndex":0},"schema":"https://github.com/citation-style-language/schema/raw/master/csl-citation.json"}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(Sabri et al., 2024)</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mitigate financial stress and anxiety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{"citationItems":[{"id":"ITEM-1","itemData":{"DOI":"10.1371/journal.pone.0294466","ISSN":"19326203","abstract":"The topic of financial wellbeing is a current concern within the realm of personal and household finance. This study aims to examine the influence of cognitive factors, specifically financial literacy, mental budgeting, and self-control, on subjective financial wellbeing. While there exist multiple determinants of financial wellbeing, this research focuses on these particular cognitive factors. The present study aims to examine the mediating role of investment decision-making behavior in the association between cognitive factors and financial wellbeing. The study employed Partial Least Squares Structural Equation Modeling (PLS-SEM) to analyze the data collected from a sample of 449 Chinese university students, with the aim of assessing the empirical associations. The results indicate that financial literacy, mental budgeting, and self-control exert a favorable and noteworthy influence on an individual’s financial well-being. The results indicate that individuals with a greater degree of financial literacy are more prone to achieving superior financial well-being. Moreover, individuals who practice mental budgeting, a technique that entails mentally classifying and monitoring their expenditures, demonstrate elevated levels of financial well-being. Likewise, the exercise of self-regulation is identified as a pivotal element that impacts an individual’s financial wellbeing. The findings indicate that there is evidence to support the mediator, investment decision-making behavior. This mediator partially mediates the association between the independent variables, namely financial literacy, mental budgeting, and self-control, and financial well-being. The results suggest that individuals with elevated levels of financial literacy, proficient mental budgeting skills, and self-regulatory abilities are inclined towards demonstrating favorable investment decision-making conduct. Consequently, this contributes to their general financial welfare. In general, the study’s theoretical implications augment the current knowledge repository, while its practical implications provide feasible perspectives for policymakers, financial institutions, and individuals to foster financial wellness and enhance financial results.","author":[{"dropping-particle":"","family":"Bai","given":"Ruofan","non-dropping-particle":"","parse-names":false,"suffix":""}],"container-title":"PLoS ONE","id":"ITEM-1","issue":"11 November","issued":{"date-parts":[["2023"]]},"title":"Impact of financial literacy, mental budgeting and self control on financial wellbeing: Mediating impact of investment decision making","type":"article-journal","volume":"18"},"uris":["http://www.mendeley.com/documents/?uuid=784adacb-bdbd-320b-9a5c-b06375f16ba6"]}],"mendeley":{"formattedCitation":"(Bai, 2023)","plainTextFormattedCitation":"(Bai, 2023)","previouslyFormattedCitation":"(Bai, 2023)"},"properties":{"noteIndex":0},"schema":"https://github.com/citation-style-language/schema/raw/master/csl-citation.json"}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(Bai, 2023)</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 xml:space="preserve">, and </w:t>
      </w:r>
      <w:r w:rsidRPr="009A5696">
        <w:rPr>
          <w:rFonts w:ascii="Times New Roman" w:eastAsia="Times New Roman" w:hAnsi="Times New Roman"/>
          <w:lang w:eastAsia="en-ID"/>
        </w:rPr>
        <w:t xml:space="preserve">enhance </w:t>
      </w:r>
      <w:r w:rsidRPr="009546FB">
        <w:rPr>
          <w:rFonts w:ascii="Times New Roman" w:eastAsia="Times New Roman" w:hAnsi="Times New Roman"/>
          <w:sz w:val="24"/>
          <w:szCs w:val="24"/>
          <w:lang w:eastAsia="en-ID"/>
        </w:rPr>
        <w:t xml:space="preserve">both physical and mental health </w:t>
      </w:r>
      <w:r w:rsidRPr="009546FB">
        <w:rPr>
          <w:rFonts w:ascii="Times New Roman" w:eastAsia="Times New Roman" w:hAnsi="Times New Roman"/>
          <w:sz w:val="24"/>
          <w:szCs w:val="24"/>
          <w:lang w:eastAsia="en-ID"/>
        </w:rPr>
        <w:fldChar w:fldCharType="begin" w:fldLock="1"/>
      </w:r>
      <w:r w:rsidRPr="009546FB">
        <w:rPr>
          <w:rFonts w:ascii="Times New Roman" w:eastAsia="Times New Roman" w:hAnsi="Times New Roman"/>
          <w:sz w:val="24"/>
          <w:szCs w:val="24"/>
          <w:lang w:eastAsia="en-ID"/>
        </w:rPr>
        <w:instrText>ADDIN CSL_CITATION {"citationItems":[{"id":"ITEM-1","itemData":{"DOI":"10.3390/healthcare12020127","ISSN":"22279032","abstract":"The financial difficulties of parents have a negative impact on the health of their children. This problem is more pronounced in single mother families. There is limited research on low-income, single mothers and how interventions to help them address financial difficulties may also benefit their children. The purpose of this study was to evaluate the effect of a year-long financial education and coaching program on school absenteeism and health care utilization of children in employed, low-income, single mother households. This was a post hoc analysis of the Finances First study, a randomized controlled trial conducted in 2017–2020 examining the impact of a financial coaching and education program on economic stability and health outcomes in 345 low-income, single mothers. Either generalized estimating equations (GEEs) or generalized linear mixed models (GLMMs) were used to account for relationships between participants. For the continuous outcomes of child absenteeism, physician visits, emergency room visits, and hospitalization days, a linear mixed-effects model was used. The Finances First study demonstrated improvements in various financial strain measures. Compared to the control group, children of intervention group participants experienced 1 fewer day of school absence (p = 0.049) and 1 fewer physician visit (p = 0.032) per year, but no impact was seen on emergency room visits (p = 0.55) or hospitalizations (p = 0.92). Addressing social determinants of health in parents is necessary for improving child health outcomes.","author":[{"dropping-particle":"","family":"Fuji","given":"Kevin T.","non-dropping-particle":"","parse-names":false,"suffix":""},{"dropping-particle":"","family":"White","given":"Nicole D.","non-dropping-particle":"","parse-names":false,"suffix":""},{"dropping-particle":"","family":"Packard","given":"Kathleen A.","non-dropping-particle":"","parse-names":false,"suffix":""},{"dropping-particle":"","family":"Kalkowski","given":"Julie C.","non-dropping-particle":"","parse-names":false,"suffix":""},{"dropping-particle":"","family":"Walters","given":"Ryan W.","non-dropping-particle":"","parse-names":false,"suffix":""}],"container-title":"Healthcare (Switzerland)","id":"ITEM-1","issue":"2","issued":{"date-parts":[["2024"]]},"title":"Effect of a Financial Education and Coaching Program for Low-Income, Single Mother Households on Child Health Outcomes","type":"article-journal","volume":"12"},"uris":["http://www.mendeley.com/documents/?uuid=a3b81a2a-3f4a-359c-94cf-a17d3fa4e3a8"]},{"id":"ITEM-2","itemData":{"DOI":"10.1177/15598276211069537","ISSN":"15598284","abstract":"Objectives. Evaluate the health impact of a novel financial education and coaching program in single mothers of low-income in Omaha, Nebraska. Methods. Employed, single mothers earning no more than 200% of the 2017 Federal Poverty Level (n = 345) enrolled in the study between April 2017 and August 2020 and were randomized to receive a novel financial education and coaching program, the Financial Success Program (FSP) or no intervention control. Demographics, biometrics, financial strain, health behaviors and healthcare utilization were assessed at baseline and the 12-month study visits. Results. Participants who completed the FSP demonstrated significantly reduced financial strain, an increased rate of smoking cessation, and a reduction in avoidance of medical care due to cost compared to participants in the control group. Conclusions. The FSP represents an effective model in promoting economic stability in vulnerable individuals through a reduction in financial strain. Health behavior changes including an increased rate of smoking cessation were demonstrated within the first 12 months of intervention.","author":[{"dropping-particle":"","family":"White","given":"Nicole","non-dropping-particle":"","parse-names":false,"suffix":""},{"dropping-particle":"","family":"Packard","given":"Kathleen","non-dropping-particle":"","parse-names":false,"suffix":""},{"dropping-particle":"","family":"Kalkowski","given":"Julie","non-dropping-particle":"","parse-names":false,"suffix":""},{"dropping-particle":"","family":"Walters","given":"Ryan","non-dropping-particle":"","parse-names":false,"suffix":""},{"dropping-particle":"","family":"Haddad","given":"Ann Ryan","non-dropping-particle":"","parse-names":false,"suffix":""},{"dropping-particle":"","family":"Flecky","given":"Kathy","non-dropping-particle":"","parse-names":false,"suffix":""},{"dropping-particle":"","family":"Rusch","given":"Lorraine","non-dropping-particle":"","parse-names":false,"suffix":""},{"dropping-particle":"","family":"Furze","given":"Jennifer","non-dropping-particle":"","parse-names":false,"suffix":""},{"dropping-particle":"","family":"Black","given":"Lisa","non-dropping-particle":"","parse-names":false,"suffix":""},{"dropping-particle":"","family":"Peterson","given":"Julie","non-dropping-particle":"","parse-names":false,"suffix":""}],"container-title":"American Journal of Lifestyle Medicine","id":"ITEM-2","issue":"3","issued":{"date-parts":[["2023"]]},"title":"Improving Health through Action on Economic Stability: Results of the Finances First Randomized Controlled Trial of Financial Education and Coaching in Single Mothers of Low-Income","type":"article-journal","volume":"17"},"uris":["http://www.mendeley.com/documents/?uuid=85b009cb-6b2a-3558-a378-811dea2eef5f"]}],"mendeley":{"formattedCitation":"(Fuji et al., 2024; White et al., 2023)","plainTextFormattedCitation":"(Fuji et al., 2024; White et al., 2023)","previouslyFormattedCitation":"(Fuji et al., 2024; White et al., 2023)"},"properties":{"noteIndex":0},"schema":"https://github.com/citation-style-language/schema/raw/master/csl-citation.json"}</w:instrText>
      </w:r>
      <w:r w:rsidRPr="009546FB">
        <w:rPr>
          <w:rFonts w:ascii="Times New Roman" w:eastAsia="Times New Roman" w:hAnsi="Times New Roman"/>
          <w:sz w:val="24"/>
          <w:szCs w:val="24"/>
          <w:lang w:eastAsia="en-ID"/>
        </w:rPr>
        <w:fldChar w:fldCharType="separate"/>
      </w:r>
      <w:r w:rsidRPr="009546FB">
        <w:rPr>
          <w:rFonts w:ascii="Times New Roman" w:eastAsia="Times New Roman" w:hAnsi="Times New Roman"/>
          <w:noProof/>
          <w:sz w:val="24"/>
          <w:szCs w:val="24"/>
          <w:lang w:eastAsia="en-ID"/>
        </w:rPr>
        <w:t>(Fuji et al., 2024; White et al., 2023)</w:t>
      </w:r>
      <w:r w:rsidRPr="009546FB">
        <w:rPr>
          <w:rFonts w:ascii="Times New Roman" w:eastAsia="Times New Roman" w:hAnsi="Times New Roman"/>
          <w:sz w:val="24"/>
          <w:szCs w:val="24"/>
          <w:lang w:eastAsia="en-ID"/>
        </w:rPr>
        <w:fldChar w:fldCharType="end"/>
      </w:r>
      <w:r w:rsidRPr="009546FB">
        <w:rPr>
          <w:rFonts w:ascii="Times New Roman" w:eastAsia="Times New Roman" w:hAnsi="Times New Roman"/>
          <w:sz w:val="24"/>
          <w:szCs w:val="24"/>
          <w:lang w:eastAsia="en-ID"/>
        </w:rPr>
        <w:t>.</w:t>
      </w:r>
    </w:p>
    <w:p w14:paraId="13004F10" w14:textId="16B48250" w:rsidR="00801914"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C65970">
        <w:rPr>
          <w:rFonts w:ascii="Times New Roman" w:eastAsia="Times New Roman" w:hAnsi="Times New Roman"/>
          <w:sz w:val="24"/>
          <w:szCs w:val="24"/>
          <w:lang w:eastAsia="en-ID"/>
        </w:rPr>
        <w:t xml:space="preserve">In addition to financial pressure, </w:t>
      </w:r>
      <w:r w:rsidRPr="009546FB">
        <w:rPr>
          <w:rFonts w:ascii="Times New Roman" w:eastAsia="Times New Roman" w:hAnsi="Times New Roman"/>
          <w:sz w:val="24"/>
          <w:szCs w:val="24"/>
          <w:lang w:eastAsia="en-ID"/>
        </w:rPr>
        <w:t xml:space="preserve">there are also </w:t>
      </w:r>
      <w:r w:rsidRPr="00C65970">
        <w:rPr>
          <w:rFonts w:ascii="Times New Roman" w:eastAsia="Times New Roman" w:hAnsi="Times New Roman"/>
          <w:sz w:val="24"/>
          <w:szCs w:val="24"/>
          <w:lang w:eastAsia="en-ID"/>
        </w:rPr>
        <w:t>opportunity</w:t>
      </w:r>
      <w:r>
        <w:rPr>
          <w:rFonts w:ascii="Times New Roman" w:eastAsia="Times New Roman" w:hAnsi="Times New Roman"/>
          <w:sz w:val="24"/>
          <w:szCs w:val="24"/>
          <w:lang w:eastAsia="en-ID"/>
        </w:rPr>
        <w:t xml:space="preserve"> factor</w:t>
      </w:r>
      <w:r w:rsidRPr="00C65970">
        <w:rPr>
          <w:rFonts w:ascii="Times New Roman" w:eastAsia="Times New Roman" w:hAnsi="Times New Roman"/>
          <w:sz w:val="24"/>
          <w:szCs w:val="24"/>
          <w:lang w:eastAsia="en-ID"/>
        </w:rPr>
        <w:t xml:space="preserve"> and rationalization also play a critical role in influencing an individual’s </w:t>
      </w:r>
      <w:r>
        <w:rPr>
          <w:rFonts w:ascii="Times New Roman" w:eastAsia="Times New Roman" w:hAnsi="Times New Roman"/>
          <w:sz w:val="24"/>
          <w:szCs w:val="24"/>
          <w:lang w:eastAsia="en-ID"/>
        </w:rPr>
        <w:t>tendency</w:t>
      </w:r>
      <w:r w:rsidRPr="00C65970">
        <w:rPr>
          <w:rFonts w:ascii="Times New Roman" w:eastAsia="Times New Roman" w:hAnsi="Times New Roman"/>
          <w:sz w:val="24"/>
          <w:szCs w:val="24"/>
          <w:lang w:eastAsia="en-ID"/>
        </w:rPr>
        <w:t xml:space="preserve"> to engage in financial fraud. Motives and rationalization are closely associated with the personal characteristics of the </w:t>
      </w:r>
      <w:r>
        <w:rPr>
          <w:rFonts w:ascii="Times New Roman" w:eastAsia="Times New Roman" w:hAnsi="Times New Roman"/>
          <w:sz w:val="24"/>
          <w:szCs w:val="24"/>
          <w:lang w:eastAsia="en-ID"/>
        </w:rPr>
        <w:t xml:space="preserve">fraud </w:t>
      </w:r>
      <w:r w:rsidRPr="00C65970">
        <w:rPr>
          <w:rFonts w:ascii="Times New Roman" w:eastAsia="Times New Roman" w:hAnsi="Times New Roman"/>
          <w:sz w:val="24"/>
          <w:szCs w:val="24"/>
          <w:lang w:eastAsia="en-ID"/>
        </w:rPr>
        <w:t>perpetrator, particularly internal drives</w:t>
      </w:r>
      <w:r>
        <w:rPr>
          <w:rFonts w:ascii="Times New Roman" w:eastAsia="Times New Roman" w:hAnsi="Times New Roman"/>
          <w:sz w:val="24"/>
          <w:szCs w:val="24"/>
          <w:lang w:eastAsia="en-ID"/>
        </w:rPr>
        <w:t xml:space="preserve"> </w:t>
      </w:r>
      <w:r w:rsidRPr="00C65970">
        <w:rPr>
          <w:rFonts w:ascii="Times New Roman" w:eastAsia="Times New Roman" w:hAnsi="Times New Roman"/>
          <w:sz w:val="24"/>
          <w:szCs w:val="24"/>
          <w:lang w:eastAsia="en-ID"/>
        </w:rPr>
        <w:fldChar w:fldCharType="begin" w:fldLock="1"/>
      </w:r>
      <w:r w:rsidRPr="00C65970">
        <w:rPr>
          <w:rFonts w:ascii="Times New Roman" w:eastAsia="Times New Roman" w:hAnsi="Times New Roman"/>
          <w:sz w:val="24"/>
          <w:szCs w:val="24"/>
          <w:lang w:eastAsia="en-ID"/>
        </w:rPr>
        <w:instrText>ADDIN CSL_CITATION {"citationItems":[{"id":"ITEM-1","itemData":{"author":[{"dropping-particle":"","family":"Rahmarta","given":"Vandy","non-dropping-particle":"","parse-names":false,"suffix":""},{"dropping-particle":"","family":"Pontoh","given":"Grace T","non-dropping-particle":"","parse-names":false,"suffix":""},{"dropping-particle":"","family":"Said","given":"Darwis","non-dropping-particle":"","parse-names":false,"suffix":""}],"container-title":"Substansi: Sumber Artikel Akuntansi Auditing dan Keuangan Vokasi","id":"ITEM-1","issue":"1","issued":{"date-parts":[["2024"]]},"page":"28-43","title":"Kekuatan Organisasional Dan Sistem Dalam Pencegahan Fraud: Suatu Tinjauan System Literature Review","type":"article-journal","volume":"8"},"uris":["http://www.mendeley.com/documents/?uuid=7a9d6c7e-3ed3-4b7d-8fd9-a2521df7d7df"]}],"mendeley":{"formattedCitation":"(Rahmarta et al., 2024)","plainTextFormattedCitation":"(Rahmarta et al., 2024)","previouslyFormattedCitation":"(Rahmarta et al., 2024)"},"properties":{"noteIndex":0},"schema":"https://github.com/citation-style-language/schema/raw/master/csl-citation.json"}</w:instrText>
      </w:r>
      <w:r w:rsidRPr="00C65970">
        <w:rPr>
          <w:rFonts w:ascii="Times New Roman" w:eastAsia="Times New Roman" w:hAnsi="Times New Roman"/>
          <w:sz w:val="24"/>
          <w:szCs w:val="24"/>
          <w:lang w:eastAsia="en-ID"/>
        </w:rPr>
        <w:fldChar w:fldCharType="separate"/>
      </w:r>
      <w:r w:rsidRPr="00C65970">
        <w:rPr>
          <w:rFonts w:ascii="Times New Roman" w:eastAsia="Times New Roman" w:hAnsi="Times New Roman"/>
          <w:noProof/>
          <w:sz w:val="24"/>
          <w:szCs w:val="24"/>
          <w:lang w:eastAsia="en-ID"/>
        </w:rPr>
        <w:t>(Rahmarta et al., 2024)</w:t>
      </w:r>
      <w:r w:rsidRPr="00C65970">
        <w:rPr>
          <w:rFonts w:ascii="Times New Roman" w:eastAsia="Times New Roman" w:hAnsi="Times New Roman"/>
          <w:sz w:val="24"/>
          <w:szCs w:val="24"/>
          <w:lang w:eastAsia="en-ID"/>
        </w:rPr>
        <w:fldChar w:fldCharType="end"/>
      </w:r>
      <w:r w:rsidRPr="00C65970">
        <w:rPr>
          <w:rFonts w:ascii="Times New Roman" w:eastAsia="Times New Roman" w:hAnsi="Times New Roman"/>
          <w:sz w:val="24"/>
          <w:szCs w:val="24"/>
          <w:lang w:eastAsia="en-ID"/>
        </w:rPr>
        <w:t xml:space="preserve">. </w:t>
      </w:r>
      <w:r>
        <w:rPr>
          <w:rFonts w:ascii="Times New Roman" w:eastAsia="Times New Roman" w:hAnsi="Times New Roman"/>
          <w:sz w:val="24"/>
          <w:szCs w:val="24"/>
          <w:lang w:eastAsia="en-ID"/>
        </w:rPr>
        <w:t>These i</w:t>
      </w:r>
      <w:r w:rsidRPr="00C65970">
        <w:rPr>
          <w:rFonts w:ascii="Times New Roman" w:eastAsia="Times New Roman" w:hAnsi="Times New Roman"/>
          <w:sz w:val="24"/>
          <w:szCs w:val="24"/>
          <w:lang w:eastAsia="en-ID"/>
        </w:rPr>
        <w:t xml:space="preserve">nternal drives are </w:t>
      </w:r>
      <w:r w:rsidRPr="002A20B0">
        <w:rPr>
          <w:rFonts w:ascii="Times New Roman" w:eastAsia="Times New Roman" w:hAnsi="Times New Roman"/>
          <w:sz w:val="24"/>
          <w:szCs w:val="24"/>
          <w:lang w:eastAsia="en-ID"/>
        </w:rPr>
        <w:t xml:space="preserve">necessary to convince oneself not to commit fraud, in the form of locus of control </w:t>
      </w:r>
      <w:r w:rsidRPr="00C65970">
        <w:rPr>
          <w:rFonts w:ascii="Times New Roman" w:eastAsia="Times New Roman" w:hAnsi="Times New Roman"/>
          <w:i/>
          <w:sz w:val="24"/>
          <w:szCs w:val="24"/>
          <w:lang w:eastAsia="en-ID"/>
        </w:rPr>
        <w:fldChar w:fldCharType="begin" w:fldLock="1"/>
      </w:r>
      <w:r w:rsidRPr="00C65970">
        <w:rPr>
          <w:rFonts w:ascii="Times New Roman" w:eastAsia="Times New Roman" w:hAnsi="Times New Roman"/>
          <w:i/>
          <w:sz w:val="24"/>
          <w:szCs w:val="24"/>
          <w:lang w:eastAsia="en-ID"/>
        </w:rPr>
        <w:instrText>ADDIN CSL_CITATION {"citationItems":[{"id":"ITEM-1","itemData":{"DOI":"10.21608/ejhc.2022.221395","abstract":"Background: Health locus of control (HLOC) influences hemodialysis patients' health beliefs and attitudes which in turn affects their compliance to treatment and psychological well-being (PWB) as well. Aim: This study aimed to assess the relationship between locus of control and psychological well-being among hemodialysis patients. Research design: A descriptive research design was utilized in this study. Setting: This study was carried out in the National Institute of Urology and Nephrology, affiliated to the General Organization for Teaching Hospitals and Institutes, Cairo. Subjects: A sample of 100 patients undergoing hemodialysis for more than six months, from both sexes, aging between 18 to 65 years old and do not have any mental disorders. Tools of data collection: 1) Interview Questionnaire tool and it includes socio-demographic characteristics and clinical data, 2) Multi-dimensional health locus of control scale and 3) Ryff's psychological well-being scale. Results: The study showed that more than half of hemodialysis patients under study had low locus of control and nearly half of them had usual level of psychological well-being. Also, there was a significant relationship between locus of control and psychological well-being among hemodialysis patients. Conclusions: There was a significant positive relationship between health locus of control and psychological well-being among hemodialysis patients. Recommendations: Further studies are recommended to assess the factors affecting locus of control beliefs and psychological well-being among hemodialysis patients. Also, future research to assess health locus of control and psychological well-being among newly diagnosed hemodialysis patients is recommended.","author":[{"dropping-particle":"","family":"Helali","given":"Basmah Abdel-Nasser","non-dropping-particle":"","parse-names":false,"suffix":""},{"dropping-particle":"","family":"Mohamad","given":"Hoda Sayed","non-dropping-particle":"","parse-names":false,"suffix":""},{"dropping-particle":"","family":"Eliwa","given":"Sahar Mahmoud","non-dropping-particle":"","parse-names":false,"suffix":""}],"container-title":"Egyptian Journal of Health Care","id":"ITEM-1","issue":"1","issued":{"date-parts":[["2022"]]},"title":"The Relationship between Locus of Control and Psychological Well-Being among Hemodialysis Patients","type":"article-journal","volume":"13"},"uris":["http://www.mendeley.com/documents/?uuid=1b6a97a1-c1a2-3295-86e9-602667e36dd6"]}],"mendeley":{"formattedCitation":"(Helali et al., 2022)","plainTextFormattedCitation":"(Helali et al., 2022)","previouslyFormattedCitation":"(Helali et al., 2022)"},"properties":{"noteIndex":0},"schema":"https://github.com/citation-style-language/schema/raw/master/csl-citation.json"}</w:instrText>
      </w:r>
      <w:r w:rsidRPr="00C65970">
        <w:rPr>
          <w:rFonts w:ascii="Times New Roman" w:eastAsia="Times New Roman" w:hAnsi="Times New Roman"/>
          <w:i/>
          <w:sz w:val="24"/>
          <w:szCs w:val="24"/>
          <w:lang w:eastAsia="en-ID"/>
        </w:rPr>
        <w:fldChar w:fldCharType="separate"/>
      </w:r>
      <w:r w:rsidRPr="00C65970">
        <w:rPr>
          <w:rFonts w:ascii="Times New Roman" w:eastAsia="Times New Roman" w:hAnsi="Times New Roman"/>
          <w:noProof/>
          <w:sz w:val="24"/>
          <w:szCs w:val="24"/>
          <w:lang w:eastAsia="en-ID"/>
        </w:rPr>
        <w:t>(Helali et al., 2022)</w:t>
      </w:r>
      <w:r w:rsidRPr="00C65970">
        <w:rPr>
          <w:rFonts w:ascii="Times New Roman" w:eastAsia="Times New Roman" w:hAnsi="Times New Roman"/>
          <w:i/>
          <w:sz w:val="24"/>
          <w:szCs w:val="24"/>
          <w:lang w:eastAsia="en-ID"/>
        </w:rPr>
        <w:fldChar w:fldCharType="end"/>
      </w:r>
      <w:r w:rsidRPr="00C65970">
        <w:rPr>
          <w:rFonts w:ascii="Times New Roman" w:eastAsia="Times New Roman" w:hAnsi="Times New Roman"/>
          <w:sz w:val="24"/>
          <w:szCs w:val="24"/>
          <w:lang w:eastAsia="en-ID"/>
        </w:rPr>
        <w:t xml:space="preserve">. Locus of control (LOC) has been found to exert a significant influence on the tendency to commit financial fraud </w:t>
      </w:r>
      <w:r w:rsidRPr="00C65970">
        <w:rPr>
          <w:rFonts w:ascii="Times New Roman" w:eastAsia="Times New Roman" w:hAnsi="Times New Roman"/>
          <w:sz w:val="24"/>
          <w:szCs w:val="24"/>
          <w:lang w:eastAsia="en-ID"/>
        </w:rPr>
        <w:fldChar w:fldCharType="begin" w:fldLock="1"/>
      </w:r>
      <w:r w:rsidRPr="00C65970">
        <w:rPr>
          <w:rFonts w:ascii="Times New Roman" w:eastAsia="Times New Roman" w:hAnsi="Times New Roman"/>
          <w:sz w:val="24"/>
          <w:szCs w:val="24"/>
          <w:lang w:eastAsia="en-ID"/>
        </w:rPr>
        <w:instrText>ADDIN CSL_CITATION {"citationItems":[{"id":"ITEM-1","itemData":{"DOI":"10.32795/hak.v2i1.1507","abstract":"The tendency of accounting fraud is fraud caused by an error in reporting in financial reporting or an intentional act identical to corruption, misuse of assets and false questions. This study aims to determine the effect of internal variables locus of control, external locus of control and individual morality on the tendency of accounting fraud in OPD Badung Regency. This research was conducted using the results of a questionnaire instrument survey. The sample studied was 114 respondents with a purposive sampling technique using criteria. The results of hypothesis testing show that the internal locus of control and external locus of control variables have a significant effect on the tendency of accounting fraud, while individual morality does not have a significant effect on the tendency of accounting fraud in OPD Badung Regency","author":[{"dropping-particle":"","family":"Dewi","given":"I Gusti Agung Oka Kristina","non-dropping-particle":"","parse-names":false,"suffix":""},{"dropping-particle":"","family":"Sudiana","given":"I Wayan","non-dropping-particle":"","parse-names":false,"suffix":""},{"dropping-particle":"","family":"Putra","given":"I Putu Deddy Samtika","non-dropping-particle":"","parse-names":false,"suffix":""}],"container-title":"Hita Akuntansi dan Keuangan","id":"ITEM-1","issue":"1","issued":{"date-parts":[["2021"]]},"title":"Pengaruh Locus Of Control Dan Moralitas Individu Terhadap Kecendrungan Kecurangan Akuntansi","type":"article-journal","volume":"2"},"uris":["http://www.mendeley.com/documents/?uuid=3a2951b1-d073-3533-8be1-0bb6527a7fb7"]}],"mendeley":{"formattedCitation":"(I. G. A. O. K. Dewi et al., 2021)","manualFormatting":"(Dewi et al., 2021; Fausta &amp; Nelvirita, 2022)","plainTextFormattedCitation":"(I. G. A. O. K. Dewi et al., 2021)","previouslyFormattedCitation":"(I. G. A. O. K. Dewi et al., 2021)"},"properties":{"noteIndex":0},"schema":"https://github.com/citation-style-language/schema/raw/master/csl-citation.json"}</w:instrText>
      </w:r>
      <w:r w:rsidRPr="00C65970">
        <w:rPr>
          <w:rFonts w:ascii="Times New Roman" w:eastAsia="Times New Roman" w:hAnsi="Times New Roman"/>
          <w:sz w:val="24"/>
          <w:szCs w:val="24"/>
          <w:lang w:eastAsia="en-ID"/>
        </w:rPr>
        <w:fldChar w:fldCharType="separate"/>
      </w:r>
      <w:r w:rsidRPr="00C65970">
        <w:rPr>
          <w:rFonts w:ascii="Times New Roman" w:eastAsia="Times New Roman" w:hAnsi="Times New Roman"/>
          <w:noProof/>
          <w:sz w:val="24"/>
          <w:szCs w:val="24"/>
          <w:lang w:eastAsia="en-ID"/>
        </w:rPr>
        <w:t>(Dewi et al., 2021; Fausta &amp; Nelvirita, 2022)</w:t>
      </w:r>
      <w:r w:rsidRPr="00C65970">
        <w:rPr>
          <w:rFonts w:ascii="Times New Roman" w:eastAsia="Times New Roman" w:hAnsi="Times New Roman"/>
          <w:sz w:val="24"/>
          <w:szCs w:val="24"/>
          <w:lang w:eastAsia="en-ID"/>
        </w:rPr>
        <w:fldChar w:fldCharType="end"/>
      </w:r>
      <w:r w:rsidR="00E140F7">
        <w:rPr>
          <w:rFonts w:ascii="Times New Roman" w:eastAsia="Times New Roman" w:hAnsi="Times New Roman"/>
          <w:sz w:val="24"/>
          <w:szCs w:val="24"/>
          <w:lang w:eastAsia="en-ID"/>
        </w:rPr>
        <w:t>.</w:t>
      </w:r>
    </w:p>
    <w:p w14:paraId="0DE5C7A5" w14:textId="77777777" w:rsidR="00801914" w:rsidRPr="00C65970"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Pr>
          <w:rFonts w:ascii="Times New Roman" w:eastAsia="Times New Roman" w:hAnsi="Times New Roman"/>
          <w:sz w:val="24"/>
          <w:szCs w:val="24"/>
          <w:lang w:eastAsia="en-ID"/>
        </w:rPr>
        <w:t>L</w:t>
      </w:r>
      <w:r w:rsidRPr="00C65970">
        <w:rPr>
          <w:rFonts w:ascii="Times New Roman" w:eastAsia="Times New Roman" w:hAnsi="Times New Roman"/>
          <w:sz w:val="24"/>
          <w:szCs w:val="24"/>
          <w:lang w:eastAsia="en-ID"/>
        </w:rPr>
        <w:t>ocus of control, introduced by Rotter (1966)</w:t>
      </w:r>
      <w:r>
        <w:rPr>
          <w:rFonts w:ascii="Times New Roman" w:eastAsia="Times New Roman" w:hAnsi="Times New Roman"/>
          <w:sz w:val="24"/>
          <w:szCs w:val="24"/>
          <w:lang w:eastAsia="en-ID"/>
        </w:rPr>
        <w:t>,</w:t>
      </w:r>
      <w:r w:rsidRPr="00C65970">
        <w:rPr>
          <w:rFonts w:ascii="Times New Roman" w:eastAsia="Times New Roman" w:hAnsi="Times New Roman"/>
          <w:sz w:val="24"/>
          <w:szCs w:val="24"/>
          <w:lang w:eastAsia="en-ID"/>
        </w:rPr>
        <w:t xml:space="preserve"> </w:t>
      </w:r>
      <w:r w:rsidRPr="00E34BE7">
        <w:rPr>
          <w:rFonts w:ascii="Times New Roman" w:eastAsia="Times New Roman" w:hAnsi="Times New Roman"/>
          <w:sz w:val="24"/>
          <w:szCs w:val="24"/>
          <w:lang w:eastAsia="en-ID"/>
        </w:rPr>
        <w:t xml:space="preserve">explains </w:t>
      </w:r>
      <w:r w:rsidRPr="00C65970">
        <w:rPr>
          <w:rFonts w:ascii="Times New Roman" w:eastAsia="Times New Roman" w:hAnsi="Times New Roman"/>
          <w:sz w:val="24"/>
          <w:szCs w:val="24"/>
          <w:lang w:eastAsia="en-ID"/>
        </w:rPr>
        <w:t xml:space="preserve">that individuals hold either internal or external beliefs regarding the degree of control they have over events in their lives. </w:t>
      </w:r>
      <w:r w:rsidRPr="00C65970">
        <w:rPr>
          <w:rFonts w:ascii="Times New Roman" w:eastAsia="Times New Roman" w:hAnsi="Times New Roman"/>
          <w:sz w:val="24"/>
          <w:szCs w:val="24"/>
          <w:lang w:eastAsia="en-ID"/>
        </w:rPr>
        <w:lastRenderedPageBreak/>
        <w:t xml:space="preserve">Individuals with an internal locus of control believe that outcomes can be determined through their own efforts and abilities </w:t>
      </w:r>
      <w:r w:rsidRPr="00C65970">
        <w:rPr>
          <w:rFonts w:ascii="Times New Roman" w:eastAsia="Times New Roman" w:hAnsi="Times New Roman"/>
          <w:sz w:val="24"/>
          <w:szCs w:val="24"/>
          <w:lang w:eastAsia="en-ID"/>
        </w:rPr>
        <w:fldChar w:fldCharType="begin" w:fldLock="1"/>
      </w:r>
      <w:r w:rsidRPr="00C65970">
        <w:rPr>
          <w:rFonts w:ascii="Times New Roman" w:eastAsia="Times New Roman" w:hAnsi="Times New Roman"/>
          <w:sz w:val="24"/>
          <w:szCs w:val="24"/>
          <w:lang w:eastAsia="en-ID"/>
        </w:rPr>
        <w:instrText>ADDIN CSL_CITATION {"citationItems":[{"id":"ITEM-1","itemData":{"DOI":"10.24843/eja.2019.v29.i03.p12","abstract":"This research is aimed to acquire the empirical evidence of  the influence of human resource competencies and locus of control on fraud prevention in the management of dana desa. This research has been selecting all of the 27 desa dinas in denpasar as the population. 108 respondent were collected as the sample. One of the non-probability sampling using census to obtained the data. Multiple linear regression technique analysis is applied to analyzing the data. This research shows that human resource competencies and locus of control, have given such an positive impact to the fraud prevention in the vilaage fund management .\r Keywords : Human Resource Competencies ; Locus Of Control Fraud.","author":[{"dropping-particle":"","family":"Dewi","given":"Ni Ketut Putri Pramesti","non-dropping-particle":"","parse-names":false,"suffix":""},{"dropping-particle":"","family":"Rasmini","given":"Ni Ketut","non-dropping-particle":"","parse-names":false,"suffix":""}],"container-title":"E-Jurnal Akuntansi","id":"ITEM-1","issue":"3","issued":{"date-parts":[["2019"]]},"title":"Pengaruh Kompetensi SDM dan Locus Of Control Pada Pencegahan Fraud dalam Pengelolaan Dana Desa","type":"article-journal","volume":"29"},"uris":["http://www.mendeley.com/documents/?uuid=875f7ac8-e626-3ad0-849b-bd87414f9bda"]}],"mendeley":{"formattedCitation":"(N. K. P. P. Dewi &amp; Rasmini, 2019)","manualFormatting":"(Dewi &amp; Rasmini, 2019)","plainTextFormattedCitation":"(N. K. P. P. Dewi &amp; Rasmini, 2019)","previouslyFormattedCitation":"(N. K. P. P. Dewi &amp; Rasmini, 2019)"},"properties":{"noteIndex":0},"schema":"https://github.com/citation-style-language/schema/raw/master/csl-citation.json"}</w:instrText>
      </w:r>
      <w:r w:rsidRPr="00C65970">
        <w:rPr>
          <w:rFonts w:ascii="Times New Roman" w:eastAsia="Times New Roman" w:hAnsi="Times New Roman"/>
          <w:sz w:val="24"/>
          <w:szCs w:val="24"/>
          <w:lang w:eastAsia="en-ID"/>
        </w:rPr>
        <w:fldChar w:fldCharType="separate"/>
      </w:r>
      <w:r w:rsidRPr="00C65970">
        <w:rPr>
          <w:rFonts w:ascii="Times New Roman" w:eastAsia="Times New Roman" w:hAnsi="Times New Roman"/>
          <w:noProof/>
          <w:sz w:val="24"/>
          <w:szCs w:val="24"/>
          <w:lang w:eastAsia="en-ID"/>
        </w:rPr>
        <w:t>(Dewi &amp; Rasmini, 2019)</w:t>
      </w:r>
      <w:r w:rsidRPr="00C65970">
        <w:rPr>
          <w:rFonts w:ascii="Times New Roman" w:eastAsia="Times New Roman" w:hAnsi="Times New Roman"/>
          <w:sz w:val="24"/>
          <w:szCs w:val="24"/>
          <w:lang w:eastAsia="en-ID"/>
        </w:rPr>
        <w:fldChar w:fldCharType="end"/>
      </w:r>
      <w:r w:rsidRPr="00C65970">
        <w:rPr>
          <w:rFonts w:ascii="Times New Roman" w:eastAsia="Times New Roman" w:hAnsi="Times New Roman"/>
          <w:sz w:val="24"/>
          <w:szCs w:val="24"/>
          <w:lang w:eastAsia="en-ID"/>
        </w:rPr>
        <w:t xml:space="preserve">. Conversely, those with an external locus of control </w:t>
      </w:r>
      <w:r w:rsidRPr="00D6374F">
        <w:rPr>
          <w:rFonts w:ascii="Times New Roman" w:eastAsia="Times New Roman" w:hAnsi="Times New Roman"/>
          <w:sz w:val="24"/>
          <w:szCs w:val="24"/>
          <w:lang w:eastAsia="en-ID"/>
        </w:rPr>
        <w:t>are characterized by believing that</w:t>
      </w:r>
      <w:r w:rsidRPr="00C65970">
        <w:rPr>
          <w:rFonts w:ascii="Times New Roman" w:eastAsia="Times New Roman" w:hAnsi="Times New Roman"/>
          <w:sz w:val="24"/>
          <w:szCs w:val="24"/>
          <w:lang w:eastAsia="en-ID"/>
        </w:rPr>
        <w:t xml:space="preserve"> work performance and task success</w:t>
      </w:r>
      <w:r>
        <w:rPr>
          <w:rFonts w:ascii="Times New Roman" w:eastAsia="Times New Roman" w:hAnsi="Times New Roman"/>
          <w:sz w:val="24"/>
          <w:szCs w:val="24"/>
          <w:lang w:eastAsia="en-ID"/>
        </w:rPr>
        <w:t xml:space="preserve"> are due</w:t>
      </w:r>
      <w:r w:rsidRPr="00C65970">
        <w:rPr>
          <w:rFonts w:ascii="Times New Roman" w:eastAsia="Times New Roman" w:hAnsi="Times New Roman"/>
          <w:sz w:val="24"/>
          <w:szCs w:val="24"/>
          <w:lang w:eastAsia="en-ID"/>
        </w:rPr>
        <w:t xml:space="preserve"> to factors beyond themselves, such as organizational systems, work environment, and leadership </w:t>
      </w:r>
      <w:r w:rsidRPr="00C65970">
        <w:rPr>
          <w:rFonts w:ascii="Times New Roman" w:eastAsia="Times New Roman" w:hAnsi="Times New Roman"/>
          <w:sz w:val="24"/>
          <w:szCs w:val="24"/>
          <w:lang w:eastAsia="en-ID"/>
        </w:rPr>
        <w:fldChar w:fldCharType="begin" w:fldLock="1"/>
      </w:r>
      <w:r w:rsidRPr="00C65970">
        <w:rPr>
          <w:rFonts w:ascii="Times New Roman" w:eastAsia="Times New Roman" w:hAnsi="Times New Roman"/>
          <w:sz w:val="24"/>
          <w:szCs w:val="24"/>
          <w:lang w:eastAsia="en-ID"/>
        </w:rPr>
        <w:instrText>ADDIN CSL_CITATION {"citationItems":[{"id":"ITEM-1","itemData":{"ISSN":"2303-1174","abstract":"Manajemen sumber daya manusia sebagai kebijakan dan praktik menentukan aspek manusia atau sumber daya manusia dalam posisi manajemen, termasuk merekrut, menyaring, melatih, memberi penghargaan dan penilaian. Manajemen sumber daya manusia adalah penarikan, seleksi, pengembangan, pemeliharaan, dan penggunaan sumber daya manusia untuk mencapai baik tujuan-tujuan individu maupun organisasi. Tujuan penelitian ini adalah (1) untuk mengetahui pengaruh Lokus Kendali Internal secara parsial terhadap Kepuasan Kerja Pegawai, (2) untuk mengetahui pengaruh Lokus Kendali Eksternal secara parsial terhadap Kepuasan Kerja Pegawai dan (3) ntuk mengetahui pengaruh Lokus Kendali Internal dan Lokus Kendali Eksternal secara simultan terhadap Kepuasan Kerja Pegawai. Jenis penelitian ini adalah jenis penelitian asosiatif. Teknik analisis data dalam penelitian ini adalah regresi linier berganda. Pengumpulan data dalam penelitian ini menggunakan kusioner penelitian yang dibagikan kepada responden yaitu pegawai Kantor Kecamatan Sario. Hasil penelitian menunjukkan bahwa (1) Secara parsial Locus Kendali Internal berpengaruh positif dan signifikan terhadap Kepuasan Kerja Pegawai Kantor Kecamatan Sario, (2) Secara parsial Locus Kendali Eksternal berpengaruh positif dan signifikan terhadap Kepuasan Kerja Pegawai Kantor Kecamatan Sario dan (3) Secara parsial Locus Kendali Internal dan Locus Kendali Eksternal berpengaruh signifikan terhadap Kepuasan Kerja Pegawai Kantor Kecamatan Sario.","author":[{"dropping-particle":"","family":"Mallo","given":"Chandra KH","non-dropping-particle":"","parse-names":false,"suffix":""},{"dropping-particle":"","family":"Trang","given":"Irvan","non-dropping-particle":"","parse-names":false,"suffix":""},{"dropping-particle":"","family":"Saerang","given":"Regina T","non-dropping-particle":"","parse-names":false,"suffix":""}],"container-title":"Jurnal EMBA","id":"ITEM-1","issue":"1","issued":{"date-parts":[["2022"]]},"page":"91-100","title":"Pengaruh Internal Locus of Control dan External Locus of Control Terhadap Kepuasan Kerja Pegawai Kantor Kecamatan Sario","type":"article-journal","volume":"10"},"uris":["http://www.mendeley.com/documents/?uuid=b4ce21c9-5d9a-4cd4-84af-19c4d230537e"]}],"mendeley":{"formattedCitation":"(Mallo et al., 2022)","plainTextFormattedCitation":"(Mallo et al., 2022)","previouslyFormattedCitation":"(Mallo et al., 2022)"},"properties":{"noteIndex":0},"schema":"https://github.com/citation-style-language/schema/raw/master/csl-citation.json"}</w:instrText>
      </w:r>
      <w:r w:rsidRPr="00C65970">
        <w:rPr>
          <w:rFonts w:ascii="Times New Roman" w:eastAsia="Times New Roman" w:hAnsi="Times New Roman"/>
          <w:sz w:val="24"/>
          <w:szCs w:val="24"/>
          <w:lang w:eastAsia="en-ID"/>
        </w:rPr>
        <w:fldChar w:fldCharType="separate"/>
      </w:r>
      <w:r w:rsidRPr="00C65970">
        <w:rPr>
          <w:rFonts w:ascii="Times New Roman" w:eastAsia="Times New Roman" w:hAnsi="Times New Roman"/>
          <w:noProof/>
          <w:sz w:val="24"/>
          <w:szCs w:val="24"/>
          <w:lang w:eastAsia="en-ID"/>
        </w:rPr>
        <w:t>(Mallo et al., 2022)</w:t>
      </w:r>
      <w:r w:rsidRPr="00C65970">
        <w:rPr>
          <w:rFonts w:ascii="Times New Roman" w:eastAsia="Times New Roman" w:hAnsi="Times New Roman"/>
          <w:sz w:val="24"/>
          <w:szCs w:val="24"/>
          <w:lang w:eastAsia="en-ID"/>
        </w:rPr>
        <w:fldChar w:fldCharType="end"/>
      </w:r>
      <w:r w:rsidRPr="00C65970">
        <w:rPr>
          <w:rFonts w:ascii="Times New Roman" w:eastAsia="Times New Roman" w:hAnsi="Times New Roman"/>
          <w:sz w:val="24"/>
          <w:szCs w:val="24"/>
          <w:lang w:eastAsia="en-ID"/>
        </w:rPr>
        <w:t xml:space="preserve">. Previous studies have demonstrated that individuals with a </w:t>
      </w:r>
      <w:r>
        <w:rPr>
          <w:rFonts w:ascii="Times New Roman" w:eastAsia="Times New Roman" w:hAnsi="Times New Roman"/>
          <w:sz w:val="24"/>
          <w:szCs w:val="24"/>
          <w:lang w:eastAsia="en-ID"/>
        </w:rPr>
        <w:t>highly</w:t>
      </w:r>
      <w:r w:rsidRPr="00C65970">
        <w:rPr>
          <w:rFonts w:ascii="Times New Roman" w:eastAsia="Times New Roman" w:hAnsi="Times New Roman"/>
          <w:sz w:val="24"/>
          <w:szCs w:val="24"/>
          <w:lang w:eastAsia="en-ID"/>
        </w:rPr>
        <w:t xml:space="preserve"> internal locus of control are better able to </w:t>
      </w:r>
      <w:r>
        <w:rPr>
          <w:rFonts w:ascii="Times New Roman" w:eastAsia="Times New Roman" w:hAnsi="Times New Roman"/>
          <w:sz w:val="24"/>
          <w:szCs w:val="24"/>
          <w:lang w:eastAsia="en-ID"/>
        </w:rPr>
        <w:t>control</w:t>
      </w:r>
      <w:r w:rsidRPr="00C65970">
        <w:rPr>
          <w:rFonts w:ascii="Times New Roman" w:eastAsia="Times New Roman" w:hAnsi="Times New Roman"/>
          <w:sz w:val="24"/>
          <w:szCs w:val="24"/>
          <w:lang w:eastAsia="en-ID"/>
        </w:rPr>
        <w:t xml:space="preserve"> problems, exercise self-control, and resist engaging in fraudulent behavior, including the falsification of financial statements or other financial </w:t>
      </w:r>
      <w:r>
        <w:rPr>
          <w:rFonts w:ascii="Times New Roman" w:eastAsia="Times New Roman" w:hAnsi="Times New Roman"/>
          <w:sz w:val="24"/>
          <w:szCs w:val="24"/>
          <w:lang w:eastAsia="en-ID"/>
        </w:rPr>
        <w:t>reports</w:t>
      </w:r>
      <w:r w:rsidRPr="00C65970">
        <w:rPr>
          <w:rFonts w:ascii="Times New Roman" w:eastAsia="Times New Roman" w:hAnsi="Times New Roman"/>
          <w:sz w:val="24"/>
          <w:szCs w:val="24"/>
          <w:lang w:eastAsia="en-ID"/>
        </w:rPr>
        <w:t xml:space="preserve"> </w:t>
      </w:r>
      <w:r w:rsidRPr="00C65970">
        <w:rPr>
          <w:rFonts w:ascii="Times New Roman" w:eastAsia="Times New Roman" w:hAnsi="Times New Roman"/>
          <w:sz w:val="24"/>
          <w:szCs w:val="24"/>
          <w:lang w:eastAsia="en-ID"/>
        </w:rPr>
        <w:fldChar w:fldCharType="begin" w:fldLock="1"/>
      </w:r>
      <w:r w:rsidRPr="00C65970">
        <w:rPr>
          <w:rFonts w:ascii="Times New Roman" w:eastAsia="Times New Roman" w:hAnsi="Times New Roman"/>
          <w:sz w:val="24"/>
          <w:szCs w:val="24"/>
          <w:lang w:eastAsia="en-ID"/>
        </w:rPr>
        <w:instrText>ADDIN CSL_CITATION {"citationItems":[{"id":"ITEM-1","itemData":{"DOI":"10.23887/vjra.v12i2.61921","ISSN":"2337-537X","abstract":"Penelitian ini bertujuan untuk mengetahui pengaruh pengendalian internal, internal locus of control dan bystander effect terhadap kecurangan. Penelitian ini merupakan jenis penelitian kuantitatif dengan jumlah responden sebanyak 117 pengurus Lembaga Perkreditan Desa di Kecamatan Kintamani. Sampel dipilih menggunakan kriteria dengan teknik purposive sampling. Data yang digunakan adalah data primer diperoleh dari penyebaran kuesioner secara langsung kepada responden. Teknik analisis data yang digunakan analisis regresi linier berganda yang diolah menggunakan SPSS versi 20. Hasil penelitian menunjukkan pengendalian internal berpengaruh negatif dan signifikan terhadap kecurangan, internal locus of control berpengaruh negatif dan signifikan terhadap kecurangan, serta bystander effect berpengaruh positif dan signifikan terhadap kecurangan. Uji koefisien determinasi menunjukkan variabel pengendalian internal, internal locus of control dan bystander effect mampu menjelaskan kecurangan sebesar 37,1 persen. Berdasarkan hasil penelitian tersebut, rekomendasi perbaikan penelitian ini difokuskan untuk menambahkan variabel independen lainnya, seperti kesesuaian kompensasi dan moralitas manajemen, sehingga hasil penelitian dapat meningkatkan nilai koefisien determinasi.","author":[{"dropping-particle":"","family":"Ganeuari","given":"Ni Putu Dian","non-dropping-particle":"","parse-names":false,"suffix":""},{"dropping-particle":"","family":"Adiputra","given":"I Made Pradana","non-dropping-particle":"","parse-names":false,"suffix":""}],"container-title":"Vokasi : Jurnal Riset Akuntansi","id":"ITEM-1","issue":"2","issued":{"date-parts":[["2023"]]},"page":"86-95","title":"Pengaruh Pengendalian Internal, Internal Locus of Control, Dan Bystander Effect Terhadap Kecurangan Pada Lembaga Perkreditan Desa Di Kecamatan Kintamani","type":"article-journal","volume":"12"},"uris":["http://www.mendeley.com/documents/?uuid=9af7a1d8-41ce-4091-b4b8-674e38141599"]},{"id":"ITEM-2","itemData":{"DOI":"10.32795/hak.v2i1.1507","abstract":"The tendency of accounting fraud is fraud caused by an error in reporting in financial reporting or an intentional act identical to corruption, misuse of assets and false questions. This study aims to determine the effect of internal variables locus of control, external locus of control and individual morality on the tendency of accounting fraud in OPD Badung Regency. This research was conducted using the results of a questionnaire instrument survey. The sample studied was 114 respondents with a purposive sampling technique using criteria. The results of hypothesis testing show that the internal locus of control and external locus of control variables have a significant effect on the tendency of accounting fraud, while individual morality does not have a significant effect on the tendency of accounting fraud in OPD Badung Regency","author":[{"dropping-particle":"","family":"Dewi","given":"I Gusti Agung Oka Kristina","non-dropping-particle":"","parse-names":false,"suffix":""},{"dropping-particle":"","family":"Sudiana","given":"I Wayan","non-dropping-particle":"","parse-names":false,"suffix":""},{"dropping-particle":"","family":"Putra","given":"I Putu Deddy Samtika","non-dropping-particle":"","parse-names":false,"suffix":""}],"container-title":"Hita Akuntansi dan Keuangan","id":"ITEM-2","issue":"1","issued":{"date-parts":[["2021"]]},"title":"Pengaruh Locus Of Control Dan Moralitas Individu Terhadap Kecendrungan Kecurangan Akuntansi","type":"article-journal","volume":"2"},"uris":["http://www.mendeley.com/documents/?uuid=3a2951b1-d073-3533-8be1-0bb6527a7fb7"]}],"mendeley":{"formattedCitation":"(I. G. A. O. K. Dewi et al., 2021; Ganeuari &amp; Adiputra, 2023)","manualFormatting":"(Dewi et al., 2021; Ganeuari &amp; Adiputra, 2023)","plainTextFormattedCitation":"(I. G. A. O. K. Dewi et al., 2021; Ganeuari &amp; Adiputra, 2023)","previouslyFormattedCitation":"(I. G. A. O. K. Dewi et al., 2021; Ganeuari &amp; Adiputra, 2023)"},"properties":{"noteIndex":0},"schema":"https://github.com/citation-style-language/schema/raw/master/csl-citation.json"}</w:instrText>
      </w:r>
      <w:r w:rsidRPr="00C65970">
        <w:rPr>
          <w:rFonts w:ascii="Times New Roman" w:eastAsia="Times New Roman" w:hAnsi="Times New Roman"/>
          <w:sz w:val="24"/>
          <w:szCs w:val="24"/>
          <w:lang w:eastAsia="en-ID"/>
        </w:rPr>
        <w:fldChar w:fldCharType="separate"/>
      </w:r>
      <w:r w:rsidRPr="00C65970">
        <w:rPr>
          <w:rFonts w:ascii="Times New Roman" w:eastAsia="Times New Roman" w:hAnsi="Times New Roman"/>
          <w:noProof/>
          <w:sz w:val="24"/>
          <w:szCs w:val="24"/>
          <w:lang w:eastAsia="en-ID"/>
        </w:rPr>
        <w:t>(Dewi et al., 2021; Ganeuari &amp; Adiputra, 2023)</w:t>
      </w:r>
      <w:r w:rsidRPr="00C65970">
        <w:rPr>
          <w:rFonts w:ascii="Times New Roman" w:eastAsia="Times New Roman" w:hAnsi="Times New Roman"/>
          <w:sz w:val="24"/>
          <w:szCs w:val="24"/>
          <w:lang w:eastAsia="en-ID"/>
        </w:rPr>
        <w:fldChar w:fldCharType="end"/>
      </w:r>
      <w:r w:rsidRPr="00C65970">
        <w:rPr>
          <w:rFonts w:ascii="Times New Roman" w:eastAsia="Times New Roman" w:hAnsi="Times New Roman"/>
          <w:sz w:val="24"/>
          <w:szCs w:val="24"/>
          <w:lang w:eastAsia="en-ID"/>
        </w:rPr>
        <w:t>.</w:t>
      </w:r>
    </w:p>
    <w:p w14:paraId="4328CC93" w14:textId="77777777" w:rsidR="00801914" w:rsidRPr="007E424C"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7E424C">
        <w:rPr>
          <w:rFonts w:ascii="Times New Roman" w:eastAsia="Times New Roman" w:hAnsi="Times New Roman"/>
          <w:sz w:val="24"/>
          <w:szCs w:val="24"/>
          <w:lang w:eastAsia="en-ID"/>
        </w:rPr>
        <w:t xml:space="preserve">Despite the significant advancements in research on financial behavior, most literature has predominantly focused on individual or private sector contexts, leaving a limited understanding of financial behavior within the public sector, particularly at the village government level. Previous studies by </w:t>
      </w:r>
      <w:r w:rsidRPr="007E424C">
        <w:rPr>
          <w:rFonts w:ascii="Times New Roman" w:eastAsia="Times New Roman" w:hAnsi="Times New Roman"/>
          <w:sz w:val="24"/>
          <w:szCs w:val="24"/>
          <w:lang w:eastAsia="en-ID"/>
        </w:rPr>
        <w:fldChar w:fldCharType="begin" w:fldLock="1"/>
      </w:r>
      <w:r w:rsidRPr="007E424C">
        <w:rPr>
          <w:rFonts w:ascii="Times New Roman" w:eastAsia="Times New Roman" w:hAnsi="Times New Roman"/>
          <w:sz w:val="24"/>
          <w:szCs w:val="24"/>
          <w:lang w:eastAsia="en-ID"/>
        </w:rPr>
        <w:instrText>ADDIN CSL_CITATION {"citationItems":[{"id":"ITEM-1","itemData":{"DOI":"10.1057/s41264-023-00234-8","ISSN":"14791846","abstract":"The high cost of living and prolonged lockdowns due to the COVID-19 pandemic made the financial well-being of individuals vulnerable, especially young adults. This paper examines the impact of financial behaviour on financial well-being (FWB) among young Malaysians during the COVID-19 pandemic. The study collected variable data on financial literacy, financial behaviour, financial socialisation, self-control, financial technology and FWB. To collect a representative sample of Malaysian young adults, a multi-stage random sampling method was used, and 360 young adults aged 18–29 years old completed the questionnaires. Structural equation modelling was adopted to investigate the factors influencing young adults' FWB. The empirical findings revealed a significant mediating effect of financial behaviour in the relationships between financial literacy, financial socialisation, self-control, financial technology, and FWB. The research concluded that the mediation analysis yields a clear and firm conclusion that financial behaviour is important in empowering young adults’ FWB. Thus, the present study adds value to the existing literature on the relationship between financial behaviour and FWB. Furthermore, the paper’s findings will assist government agencies and non-governmental organisations in developing outreach programmes for young adults per the strategies outlined in the Twelfth Malaysia Plan and the aspirations pledged in the Malaysian Youth Policy 2015–2035.","author":[{"dropping-particle":"","family":"Sabri","given":"Mohamad Fazli","non-dropping-particle":"","parse-names":false,"suffix":""},{"dropping-particle":"","family":"Anthony","given":"Mervin","non-dropping-particle":"","parse-names":false,"suffix":""},{"dropping-particle":"","family":"Law","given":"Siong Hook","non-dropping-particle":"","parse-names":false,"suffix":""},{"dropping-particle":"","family":"Rahim","given":"Husniyah Abdul","non-dropping-particle":"","parse-names":false,"suffix":""},{"dropping-particle":"","family":"Burhan","given":"Nik Ahmad Sufian","non-dropping-particle":"","parse-names":false,"suffix":""},{"dropping-particle":"","family":"Ithnin","given":"Muslimah","non-dropping-particle":"","parse-names":false,"suffix":""}],"container-title":"Journal of Financial Services Marketing","id":"ITEM-1","issue":"3","issued":{"date-parts":[["2024"]]},"title":"Impact of financial behaviour on financial well-being: evidence among young adults in Malaysia","type":"article-journal","volume":"29"},"uris":["http://www.mendeley.com/documents/?uuid=10ad8bed-a50c-3025-ade2-adb86de4552e"]}],"mendeley":{"formattedCitation":"(Sabri et al., 2024)","manualFormatting":"Sabri et al. (2024)","plainTextFormattedCitation":"(Sabri et al., 2024)","previouslyFormattedCitation":"(Sabri et al., 2024)"},"properties":{"noteIndex":0},"schema":"https://github.com/citation-style-language/schema/raw/master/csl-citation.json"}</w:instrText>
      </w:r>
      <w:r w:rsidRPr="007E424C">
        <w:rPr>
          <w:rFonts w:ascii="Times New Roman" w:eastAsia="Times New Roman" w:hAnsi="Times New Roman"/>
          <w:sz w:val="24"/>
          <w:szCs w:val="24"/>
          <w:lang w:eastAsia="en-ID"/>
        </w:rPr>
        <w:fldChar w:fldCharType="separate"/>
      </w:r>
      <w:r w:rsidRPr="007E424C">
        <w:rPr>
          <w:rFonts w:ascii="Times New Roman" w:eastAsia="Times New Roman" w:hAnsi="Times New Roman"/>
          <w:noProof/>
          <w:sz w:val="24"/>
          <w:szCs w:val="24"/>
          <w:lang w:eastAsia="en-ID"/>
        </w:rPr>
        <w:t>Sabri et al. (2024)</w:t>
      </w:r>
      <w:r w:rsidRPr="007E424C">
        <w:rPr>
          <w:rFonts w:ascii="Times New Roman" w:eastAsia="Times New Roman" w:hAnsi="Times New Roman"/>
          <w:sz w:val="24"/>
          <w:szCs w:val="24"/>
          <w:lang w:eastAsia="en-ID"/>
        </w:rPr>
        <w:fldChar w:fldCharType="end"/>
      </w:r>
      <w:r w:rsidRPr="007E424C">
        <w:rPr>
          <w:rFonts w:ascii="Times New Roman" w:eastAsia="Times New Roman" w:hAnsi="Times New Roman"/>
          <w:sz w:val="24"/>
          <w:szCs w:val="24"/>
          <w:lang w:eastAsia="en-ID"/>
        </w:rPr>
        <w:t xml:space="preserve"> and </w:t>
      </w:r>
      <w:r w:rsidRPr="007E424C">
        <w:rPr>
          <w:rFonts w:ascii="Times New Roman" w:eastAsia="Times New Roman" w:hAnsi="Times New Roman"/>
          <w:sz w:val="24"/>
          <w:szCs w:val="24"/>
          <w:lang w:eastAsia="en-ID"/>
        </w:rPr>
        <w:fldChar w:fldCharType="begin" w:fldLock="1"/>
      </w:r>
      <w:r w:rsidRPr="007E424C">
        <w:rPr>
          <w:rFonts w:ascii="Times New Roman" w:eastAsia="Times New Roman" w:hAnsi="Times New Roman"/>
          <w:sz w:val="24"/>
          <w:szCs w:val="24"/>
          <w:lang w:eastAsia="en-ID"/>
        </w:rPr>
        <w:instrText>ADDIN CSL_CITATION {"citationItems":[{"id":"ITEM-1","itemData":{"DOI":"10.3390/su131910926","ISSN":"20711050","abstract":"This paper analyzes the effect of financial knowledge and confidence in shaping individual investment choices, sustainable debt behavior, and preferences for socially and environmentally responsible financial companies. Exploiting data from the “Italian Literacy and Financial Compe-tence Survey” (IACOFI) carried out by the Bank of Italy in early 2020, we address potential endoge-neity concerns in order to investigate the causal effect of objective financial knowledge on individual financial behaviors. To this aim, we perform endogenous probit regressions, using the respondent’s long-term planning attitude, the use of information and communication technology devices, and the financial knowledge of peers as additional instrumental variables. Our main empirical findings show that objective financial knowledge exerts a positive and significant effect on financial market participation and preferences for ethical financial companies. Moreover, we provide strong empirical evidence about the role of confidence biases on individual financial behaviors. In particular, overconfident individuals display a higher probability of making financial investments, experienc-ing losses due to investment fraud, and being over-indebted. Conversely, underconfident individuals exhibit suboptimal investment choices, but are less likely to engage in risky financial behaviors.","author":[{"dropping-particle":"","family":"Aristei","given":"David","non-dropping-particle":"","parse-names":false,"suffix":""},{"dropping-particle":"","family":"Gallo","given":"Manuela","non-dropping-particle":"","parse-names":false,"suffix":""}],"container-title":"Sustainability (Switzerland)","id":"ITEM-1","issue":"19","issued":{"date-parts":[["2021"]]},"title":"Financial knowledge, confidence, and sustainable financial behavior","type":"article-journal","volume":"13"},"uris":["http://www.mendeley.com/documents/?uuid=ba289ca4-879d-3c9c-9119-1f8503854b25"]}],"mendeley":{"formattedCitation":"(Aristei &amp; Gallo, 2021)","manualFormatting":"Aristei dan Gallo (2021)","plainTextFormattedCitation":"(Aristei &amp; Gallo, 2021)","previouslyFormattedCitation":"(Aristei &amp; Gallo, 2021)"},"properties":{"noteIndex":0},"schema":"https://github.com/citation-style-language/schema/raw/master/csl-citation.json"}</w:instrText>
      </w:r>
      <w:r w:rsidRPr="007E424C">
        <w:rPr>
          <w:rFonts w:ascii="Times New Roman" w:eastAsia="Times New Roman" w:hAnsi="Times New Roman"/>
          <w:sz w:val="24"/>
          <w:szCs w:val="24"/>
          <w:lang w:eastAsia="en-ID"/>
        </w:rPr>
        <w:fldChar w:fldCharType="separate"/>
      </w:r>
      <w:r w:rsidRPr="007E424C">
        <w:rPr>
          <w:rFonts w:ascii="Times New Roman" w:eastAsia="Times New Roman" w:hAnsi="Times New Roman"/>
          <w:noProof/>
          <w:sz w:val="24"/>
          <w:szCs w:val="24"/>
          <w:lang w:eastAsia="en-ID"/>
        </w:rPr>
        <w:t>Aristei dan Gallo (2021)</w:t>
      </w:r>
      <w:r w:rsidRPr="007E424C">
        <w:rPr>
          <w:rFonts w:ascii="Times New Roman" w:eastAsia="Times New Roman" w:hAnsi="Times New Roman"/>
          <w:sz w:val="24"/>
          <w:szCs w:val="24"/>
          <w:lang w:eastAsia="en-ID"/>
        </w:rPr>
        <w:fldChar w:fldCharType="end"/>
      </w:r>
      <w:r w:rsidRPr="007E424C">
        <w:rPr>
          <w:rFonts w:ascii="Times New Roman" w:eastAsia="Times New Roman" w:hAnsi="Times New Roman"/>
          <w:sz w:val="24"/>
          <w:szCs w:val="24"/>
          <w:lang w:eastAsia="en-ID"/>
        </w:rPr>
        <w:t xml:space="preserve"> highlight the relationship between financial behavior and financial well-being but have not directly linked it to fraud prevention in governance. The public sector, however, possesses unique characteristics, such as accountability for state budgets and socio-political pressures, can influence the financial behavior of government officials. </w:t>
      </w:r>
      <w:r w:rsidRPr="007E424C">
        <w:rPr>
          <w:rFonts w:ascii="Times New Roman" w:eastAsia="Times New Roman" w:hAnsi="Times New Roman"/>
          <w:sz w:val="24"/>
          <w:szCs w:val="24"/>
          <w:lang w:eastAsia="en-ID"/>
        </w:rPr>
        <w:fldChar w:fldCharType="begin" w:fldLock="1"/>
      </w:r>
      <w:r w:rsidRPr="007E424C">
        <w:rPr>
          <w:rFonts w:ascii="Times New Roman" w:eastAsia="Times New Roman" w:hAnsi="Times New Roman"/>
          <w:sz w:val="24"/>
          <w:szCs w:val="24"/>
          <w:lang w:eastAsia="en-ID"/>
        </w:rPr>
        <w:instrText>ADDIN CSL_CITATION {"citationItems":[{"id":"ITEM-1","itemData":{"DOI":"10.36690/2674-5216-2024-2-21-33","ISSN":"2733211X","abstract":"Financial literacy is crucial for individual financial well-being and overall economic stability. Despite its importance, significant disparities in financial literacy levels exist across different countries. This research, titled \"Global Financial Literacy: A Comparative Study,\" aims to provide a comprehensive analysis of these disparities, identifying the factors influencing financial literacy and evaluating the effectiveness of various national strategies. The purpose of this study is to compare financial literacy levels and educational approaches in countries including Estonia, Slovakia, the Czech Republic, Poland, Croatia, Turkey, Romania, and Ukraine. By examining the policies and initiatives implemented in these countries, the study seeks to offer insights into best practices and recommend strategies for improving financial literacy globally. A mixed-methods approach was employed, combining quantitative data analysis from the \"OECD/INFE 2023 International Survey of Adult Financial Literacy\" and other relevant reports with qualitative case studies and interviews with key stakeholders. The methodology included a thorough literature review, data collection from international surveys, detailed country-specific case studies, and comparative analysis. The main results of the study highlight both common features and differences in financial literacy levels and educational approaches across the examined countries. Common features include the integration of financial literacy into educational curricula, government and institutional support, and the increasing importance of digital literacy. Differences are noted in the compulsory nature of financial education, the balance between theoretical and practical financial skills, and the impact of cultural and economic contexts on financial education effectiveness. The study concludes that while common strategies provide a foundation, improving financial literacy globally requires tailored, context-specific approaches. Recommendations include making financial education compulsory, enhancing practical financial skills, investing in digital training for educators, and leveraging public-private partnerships. These strategies can help foster a financially literate global population, contributing to greater economic stability and individual financial well-being.","author":[{"dropping-particle":"","family":"Spivak","given":"Irena","non-dropping-particle":"","parse-names":false,"suffix":""},{"dropping-particle":"","family":"Mihus","given":"Iryna","non-dropping-particle":"","parse-names":false,"suffix":""},{"dropping-particle":"","family":"Greben","given":"Svitlana","non-dropping-particle":"","parse-names":false,"suffix":""}],"container-title":"Public Administration and Law Review","id":"ITEM-1","issue":"2(18)","issued":{"date-parts":[["2024","6","30"]]},"page":"21-33","publisher":"Scientific Center of Innovative Researches","title":"FINANCIAL LITERACY AND GOVERNMENT POLICIES: AN INTERNATIONAL STUDY","type":"article-journal"},"uris":["http://www.mendeley.com/documents/?uuid=f7187719-4a53-3387-adfa-74f1b55df56c"]}],"mendeley":{"formattedCitation":"(Spivak et al., 2024)","manualFormatting":"Spivak et al. (2024)","plainTextFormattedCitation":"(Spivak et al., 2024)","previouslyFormattedCitation":"(Spivak et al., 2024)"},"properties":{"noteIndex":0},"schema":"https://github.com/citation-style-language/schema/raw/master/csl-citation.json"}</w:instrText>
      </w:r>
      <w:r w:rsidRPr="007E424C">
        <w:rPr>
          <w:rFonts w:ascii="Times New Roman" w:eastAsia="Times New Roman" w:hAnsi="Times New Roman"/>
          <w:sz w:val="24"/>
          <w:szCs w:val="24"/>
          <w:lang w:eastAsia="en-ID"/>
        </w:rPr>
        <w:fldChar w:fldCharType="separate"/>
      </w:r>
      <w:r w:rsidRPr="007E424C">
        <w:rPr>
          <w:rFonts w:ascii="Times New Roman" w:eastAsia="Times New Roman" w:hAnsi="Times New Roman"/>
          <w:noProof/>
          <w:sz w:val="24"/>
          <w:szCs w:val="24"/>
          <w:lang w:eastAsia="en-ID"/>
        </w:rPr>
        <w:t>Spivak et al. (2024)</w:t>
      </w:r>
      <w:r w:rsidRPr="007E424C">
        <w:rPr>
          <w:rFonts w:ascii="Times New Roman" w:eastAsia="Times New Roman" w:hAnsi="Times New Roman"/>
          <w:sz w:val="24"/>
          <w:szCs w:val="24"/>
          <w:lang w:eastAsia="en-ID"/>
        </w:rPr>
        <w:fldChar w:fldCharType="end"/>
      </w:r>
      <w:r w:rsidRPr="007E424C">
        <w:rPr>
          <w:rFonts w:ascii="Times New Roman" w:eastAsia="Times New Roman" w:hAnsi="Times New Roman"/>
          <w:sz w:val="24"/>
          <w:szCs w:val="24"/>
          <w:lang w:eastAsia="en-ID"/>
        </w:rPr>
        <w:t xml:space="preserve"> assert that financial literacy policies implemented by governments are a crucial element in shaping responsible financial behavior among public sector employees, while </w:t>
      </w:r>
      <w:r w:rsidRPr="007E424C">
        <w:rPr>
          <w:rFonts w:ascii="Times New Roman" w:eastAsia="Times New Roman" w:hAnsi="Times New Roman"/>
          <w:sz w:val="24"/>
          <w:szCs w:val="24"/>
          <w:lang w:eastAsia="en-ID"/>
        </w:rPr>
        <w:fldChar w:fldCharType="begin" w:fldLock="1"/>
      </w:r>
      <w:r w:rsidRPr="007E424C">
        <w:rPr>
          <w:rFonts w:ascii="Times New Roman" w:eastAsia="Times New Roman" w:hAnsi="Times New Roman"/>
          <w:sz w:val="24"/>
          <w:szCs w:val="24"/>
          <w:lang w:eastAsia="en-ID"/>
        </w:rPr>
        <w:instrText>ADDIN CSL_CITATION {"citationItems":[{"id":"ITEM-1","itemData":{"DOI":"10.1177/152397212102000102","ISSN":"1523-9721","abstract":"Behavioral research in public budgeting and financial management (PBFM) has a venerable lineage that extends all the way back to Herbert Simon's early analysis of budgetary processes. in spite of this early connection to public budgeting, behavioral research is now more commonly associated with behavioral economics, psychology and other disciplines. Importantly, the term behavioral is now most often associated with the use of experimental research designs. We argue that the common perception in PBFM is that there is not a significant amount of behavioral-experimental (B-E) research currently being conducted in PBFM. We find that contrary to this expectation that there are some important areas where PBFM researchers have used experiments extensively including evaluating budgetary tradeoffs, the impact of performance information on budgeting outcomes, contracting and purchasing, and accountability. We then review related literatures for studies in other fields that are related to areas of PBFM research. From this review of the literature on experiments in PBFM and related fields, we see significant differences in both theoretical development and experimental designs. in conclusion, we suggest that for Behavioral-Experimental PBFM (B-E PBFM) to flourish that the field should be open to new theories and experimental methods.","author":[{"dropping-particle":"","family":"Mohr","given":"Zachary","non-dropping-particle":"","parse-names":false,"suffix":""},{"dropping-particle":"","family":"Kearney","given":"Linwood","non-dropping-particle":"","parse-names":false,"suffix":""}],"container-title":"Public Finance and Management","id":"ITEM-1","issue":"1","issued":{"date-parts":[["2021"]]},"title":"Behavioral-Experimental Public Budgeting and Financial Management: A Review of Experimental Studies in the Field","type":"article-journal","volume":"20"},"uris":["http://www.mendeley.com/documents/?uuid=8f845675-b265-38ca-a29a-3c980afcc31a"]}],"mendeley":{"formattedCitation":"(Mohr &amp; Kearney, 2021)","manualFormatting":"Mohr dan Kearney (2021)","plainTextFormattedCitation":"(Mohr &amp; Kearney, 2021)","previouslyFormattedCitation":"(Mohr &amp; Kearney, 2021)"},"properties":{"noteIndex":0},"schema":"https://github.com/citation-style-language/schema/raw/master/csl-citation.json"}</w:instrText>
      </w:r>
      <w:r w:rsidRPr="007E424C">
        <w:rPr>
          <w:rFonts w:ascii="Times New Roman" w:eastAsia="Times New Roman" w:hAnsi="Times New Roman"/>
          <w:sz w:val="24"/>
          <w:szCs w:val="24"/>
          <w:lang w:eastAsia="en-ID"/>
        </w:rPr>
        <w:fldChar w:fldCharType="separate"/>
      </w:r>
      <w:r w:rsidRPr="007E424C">
        <w:rPr>
          <w:rFonts w:ascii="Times New Roman" w:eastAsia="Times New Roman" w:hAnsi="Times New Roman"/>
          <w:noProof/>
          <w:sz w:val="24"/>
          <w:szCs w:val="24"/>
          <w:lang w:eastAsia="en-ID"/>
        </w:rPr>
        <w:t>Mohr dan Kearney (2021)</w:t>
      </w:r>
      <w:r w:rsidRPr="007E424C">
        <w:rPr>
          <w:rFonts w:ascii="Times New Roman" w:eastAsia="Times New Roman" w:hAnsi="Times New Roman"/>
          <w:sz w:val="24"/>
          <w:szCs w:val="24"/>
          <w:lang w:eastAsia="en-ID"/>
        </w:rPr>
        <w:fldChar w:fldCharType="end"/>
      </w:r>
      <w:r w:rsidRPr="007E424C">
        <w:rPr>
          <w:rFonts w:ascii="Times New Roman" w:eastAsia="Times New Roman" w:hAnsi="Times New Roman"/>
          <w:sz w:val="24"/>
          <w:szCs w:val="24"/>
          <w:lang w:eastAsia="en-ID"/>
        </w:rPr>
        <w:t xml:space="preserve"> indicate that behavioral biases in public budgeting can affect the quality of financial management. Nevertheless, quantitative studies integrating financial behavior and psychological factors such as internal locus of control within the context of village governance remain scarce.</w:t>
      </w:r>
    </w:p>
    <w:p w14:paraId="0F3CEFC2" w14:textId="77777777" w:rsidR="00801914" w:rsidRPr="00C65970"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7E424C">
        <w:rPr>
          <w:rFonts w:ascii="Times New Roman" w:eastAsia="Times New Roman" w:hAnsi="Times New Roman"/>
          <w:sz w:val="24"/>
          <w:szCs w:val="24"/>
          <w:lang w:eastAsia="en-ID"/>
        </w:rPr>
        <w:t xml:space="preserve">Deli Serdang Regency, located in North Sumatra Province, has 380 villages and 11 sub-districts, employing 4,511 village officials as of 2025. These officials manage a total village fund allocation of IDR 373.3 billion </w:t>
      </w:r>
      <w:r w:rsidRPr="007E424C">
        <w:rPr>
          <w:rFonts w:ascii="Times New Roman" w:eastAsia="Times New Roman" w:hAnsi="Times New Roman"/>
          <w:sz w:val="24"/>
          <w:szCs w:val="24"/>
          <w:lang w:eastAsia="en-ID"/>
        </w:rPr>
        <w:fldChar w:fldCharType="begin" w:fldLock="1"/>
      </w:r>
      <w:r w:rsidRPr="007E424C">
        <w:rPr>
          <w:rFonts w:ascii="Times New Roman" w:eastAsia="Times New Roman" w:hAnsi="Times New Roman"/>
          <w:sz w:val="24"/>
          <w:szCs w:val="24"/>
          <w:lang w:eastAsia="en-ID"/>
        </w:rPr>
        <w:instrText>ADDIN CSL_CITATION {"citationItems":[{"id":"ITEM-1","itemData":{"URL":"https://rakyatbengkulu.disway.id/read/689639/dana-desa-2025-deli-serdang-rp3733-miliar-berikut-rincian-per-desa-simak-yang-terbesar-dari-abjad-p-w?utm_source=chatgpt.com","accessed":{"date-parts":[["2025","4","19"]]},"author":[{"dropping-particle":"","family":"Haryadi","given":"Peri","non-dropping-particle":"","parse-names":false,"suffix":""}],"container-title":"rakyatbengkulu.disway.id","id":"ITEM-1","issued":{"date-parts":[["2024"]]},"title":"Dana Desa 2025 Deli Serdang Rp373,3 miliar, Berikut Rincian per Desa: Simak yang Terbesar dari Abjad P-W","type":"webpage"},"uris":["http://www.mendeley.com/documents/?uuid=033ffcfb-b5f3-4726-a5a9-eef8bf41b5f7"]}],"mendeley":{"formattedCitation":"(Haryadi, 2024)","plainTextFormattedCitation":"(Haryadi, 2024)","previouslyFormattedCitation":"(Haryadi, 2024)"},"properties":{"noteIndex":0},"schema":"https://github.com/citation-style-language/schema/raw/master/csl-citation.json"}</w:instrText>
      </w:r>
      <w:r w:rsidRPr="007E424C">
        <w:rPr>
          <w:rFonts w:ascii="Times New Roman" w:eastAsia="Times New Roman" w:hAnsi="Times New Roman"/>
          <w:sz w:val="24"/>
          <w:szCs w:val="24"/>
          <w:lang w:eastAsia="en-ID"/>
        </w:rPr>
        <w:fldChar w:fldCharType="separate"/>
      </w:r>
      <w:r w:rsidRPr="007E424C">
        <w:rPr>
          <w:rFonts w:ascii="Times New Roman" w:eastAsia="Times New Roman" w:hAnsi="Times New Roman"/>
          <w:noProof/>
          <w:sz w:val="24"/>
          <w:szCs w:val="24"/>
          <w:lang w:eastAsia="en-ID"/>
        </w:rPr>
        <w:t>(Haryadi, 2024)</w:t>
      </w:r>
      <w:r w:rsidRPr="007E424C">
        <w:rPr>
          <w:rFonts w:ascii="Times New Roman" w:eastAsia="Times New Roman" w:hAnsi="Times New Roman"/>
          <w:sz w:val="24"/>
          <w:szCs w:val="24"/>
          <w:lang w:eastAsia="en-ID"/>
        </w:rPr>
        <w:fldChar w:fldCharType="end"/>
      </w:r>
      <w:r w:rsidRPr="007E424C">
        <w:rPr>
          <w:rFonts w:ascii="Times New Roman" w:eastAsia="Times New Roman" w:hAnsi="Times New Roman"/>
          <w:sz w:val="24"/>
          <w:szCs w:val="24"/>
          <w:lang w:eastAsia="en-ID"/>
        </w:rPr>
        <w:t xml:space="preserve">. Between 2021 and 2025, nine cases of fraud were recorded, resulting in state losses of IDR 12.2 billion, underscoring the urgency of this research. This study integrates financial behavior and internal locus of control as predictors of financial fraud tendencies within village governance. This approach aligns with the findings of </w:t>
      </w:r>
      <w:r w:rsidRPr="007E424C">
        <w:rPr>
          <w:rFonts w:ascii="Times New Roman" w:eastAsia="Times New Roman" w:hAnsi="Times New Roman"/>
          <w:sz w:val="24"/>
          <w:szCs w:val="24"/>
          <w:lang w:eastAsia="en-ID"/>
        </w:rPr>
        <w:fldChar w:fldCharType="begin" w:fldLock="1"/>
      </w:r>
      <w:r w:rsidRPr="007E424C">
        <w:rPr>
          <w:rFonts w:ascii="Times New Roman" w:eastAsia="Times New Roman" w:hAnsi="Times New Roman"/>
          <w:sz w:val="24"/>
          <w:szCs w:val="24"/>
          <w:lang w:eastAsia="en-ID"/>
        </w:rPr>
        <w:instrText>ADDIN CSL_CITATION {"citationItems":[{"id":"ITEM-1","itemData":{"DOI":"10.57239/PJLSS-2024-22.2.0011","ISSN":"22217630","abstract":"Studies show that the amount of accumulated debt among civil servants has increased to RM236 billion in 2018. This situation reflects that their level of understanding of financial literacy is still at a low level and if this issue is ignored, it can lead them to poverty. The study aims to explore the causes of women civil servants’ understanding of low financial literacy. A total of 17 women civil servants working in various ministries in Putrajaya was successfully interviewed intensively. Intensive interviews using semi-structured questions were then interpreted using thematic analysis techniques. The findings of the research through the adaptation of the framework of the Organization for Economic Co-operation and Development (OECD) and a combination of financial frameworks have unravelled five main causes that lead to difficulties in understanding financial literacy, namely the extravagant spending of women, low trust in conventional financial institutions, stiff government initiatives, young age, and limited exposure and knowledge. This study also presents two main strategies to improve women’s understanding of financial literacy, namely through effective financial education and the formation of women’s financial support communities. The main implication of this study is to prioritize the role of responsible agencies and institutions in intensifying the initiatives to upgrade the knowledge and skills of the community, especially women civil servants, regarding financial literacy. Encouragement through the formation of women’s financial support groups should also be given priority to raise the position of women at an economic level that can lead them towards financial wellbeing.","author":[{"dropping-particle":"","family":"Zainuddin","given":"Azizan","non-dropping-particle":"","parse-names":false,"suffix":""},{"dropping-particle":"","family":"Aziz","given":"Farhatul Mustamirrah Mahamad","non-dropping-particle":"","parse-names":false,"suffix":""},{"dropping-particle":"","family":"Harith","given":"Nor Hafizah Mohamed","non-dropping-particle":"","parse-names":false,"suffix":""},{"dropping-particle":"","family":"Rahim","given":"Memiyanty Abdul","non-dropping-particle":"","parse-names":false,"suffix":""},{"dropping-particle":"","family":"Yusoff","given":"Balqais","non-dropping-particle":"","parse-names":false,"suffix":""}],"container-title":"Pakistan Journal of Life and Social Sciences","id":"ITEM-1","issue":"2","issued":{"date-parts":[["2024"]]},"page":"140-155","title":"Financial Literacy in Improving Financial Well-Being Among Female Civil Servants: A Study in Putrajaya","type":"article-journal","volume":"22"},"uris":["http://www.mendeley.com/documents/?uuid=b57296e6-8760-4ee0-b32a-85c7dae9fa17"]}],"mendeley":{"formattedCitation":"(Zainuddin et al., 2024)","manualFormatting":"Zainuddin et al. (2024)","plainTextFormattedCitation":"(Zainuddin et al., 2024)","previouslyFormattedCitation":"(Zainuddin et al., 2024)"},"properties":{"noteIndex":0},"schema":"https://github.com/citation-style-language/schema/raw/master/csl-citation.json"}</w:instrText>
      </w:r>
      <w:r w:rsidRPr="007E424C">
        <w:rPr>
          <w:rFonts w:ascii="Times New Roman" w:eastAsia="Times New Roman" w:hAnsi="Times New Roman"/>
          <w:sz w:val="24"/>
          <w:szCs w:val="24"/>
          <w:lang w:eastAsia="en-ID"/>
        </w:rPr>
        <w:fldChar w:fldCharType="separate"/>
      </w:r>
      <w:r w:rsidRPr="007E424C">
        <w:rPr>
          <w:rFonts w:ascii="Times New Roman" w:eastAsia="Times New Roman" w:hAnsi="Times New Roman"/>
          <w:noProof/>
          <w:sz w:val="24"/>
          <w:szCs w:val="24"/>
          <w:lang w:eastAsia="en-ID"/>
        </w:rPr>
        <w:t>Zainuddin et al. (2024)</w:t>
      </w:r>
      <w:r w:rsidRPr="007E424C">
        <w:rPr>
          <w:rFonts w:ascii="Times New Roman" w:eastAsia="Times New Roman" w:hAnsi="Times New Roman"/>
          <w:sz w:val="24"/>
          <w:szCs w:val="24"/>
          <w:lang w:eastAsia="en-ID"/>
        </w:rPr>
        <w:fldChar w:fldCharType="end"/>
      </w:r>
      <w:r w:rsidRPr="007E424C">
        <w:rPr>
          <w:rFonts w:ascii="Times New Roman" w:eastAsia="Times New Roman" w:hAnsi="Times New Roman"/>
          <w:sz w:val="24"/>
          <w:szCs w:val="24"/>
          <w:lang w:eastAsia="en-ID"/>
        </w:rPr>
        <w:t>, which concluded that enhanced financial literacy among civil servants significantly improves their financial well-being and reduces vulnerability to financial misconduct. By integrating perspectives from the Fraud Triangle theory and organizational psychology, this research provides a more comprehensive framework for understanding the factors influencing deviant financial behavior among village officials.</w:t>
      </w:r>
      <w:r w:rsidRPr="00C65970">
        <w:rPr>
          <w:rFonts w:ascii="Times New Roman" w:eastAsia="Times New Roman" w:hAnsi="Times New Roman"/>
          <w:sz w:val="24"/>
          <w:szCs w:val="24"/>
          <w:lang w:eastAsia="en-ID"/>
        </w:rPr>
        <w:t xml:space="preserve"> </w:t>
      </w:r>
    </w:p>
    <w:p w14:paraId="1314EC07" w14:textId="5EEDAB38" w:rsidR="00801914" w:rsidRDefault="00801914" w:rsidP="00801914">
      <w:pPr>
        <w:spacing w:line="360" w:lineRule="auto"/>
        <w:ind w:firstLine="720"/>
        <w:jc w:val="both"/>
        <w:rPr>
          <w:rFonts w:ascii="Times New Roman" w:eastAsia="Times New Roman" w:hAnsi="Times New Roman"/>
          <w:color w:val="000000"/>
          <w:sz w:val="24"/>
          <w:szCs w:val="24"/>
        </w:rPr>
      </w:pPr>
      <w:r w:rsidRPr="005B1351">
        <w:rPr>
          <w:rFonts w:ascii="Times New Roman" w:eastAsia="Times New Roman" w:hAnsi="Times New Roman"/>
          <w:sz w:val="24"/>
          <w:szCs w:val="24"/>
        </w:rPr>
        <w:t xml:space="preserve">Based on the above </w:t>
      </w:r>
      <w:r>
        <w:rPr>
          <w:rFonts w:ascii="Times New Roman" w:eastAsia="Times New Roman" w:hAnsi="Times New Roman"/>
          <w:sz w:val="24"/>
          <w:szCs w:val="24"/>
        </w:rPr>
        <w:t>discussion</w:t>
      </w:r>
      <w:r w:rsidRPr="005B1351">
        <w:rPr>
          <w:rFonts w:ascii="Times New Roman" w:eastAsia="Times New Roman" w:hAnsi="Times New Roman"/>
          <w:sz w:val="24"/>
          <w:szCs w:val="24"/>
        </w:rPr>
        <w:t xml:space="preserve">, this study aims to </w:t>
      </w:r>
      <w:r>
        <w:rPr>
          <w:rFonts w:ascii="Times New Roman" w:eastAsia="Times New Roman" w:hAnsi="Times New Roman"/>
          <w:sz w:val="24"/>
          <w:szCs w:val="24"/>
        </w:rPr>
        <w:t xml:space="preserve">analyze </w:t>
      </w:r>
      <w:r w:rsidRPr="005B1351">
        <w:rPr>
          <w:rFonts w:ascii="Times New Roman" w:eastAsia="Times New Roman" w:hAnsi="Times New Roman"/>
          <w:sz w:val="24"/>
          <w:szCs w:val="24"/>
        </w:rPr>
        <w:t xml:space="preserve">whether financial behavior </w:t>
      </w:r>
      <w:r w:rsidRPr="005B1351">
        <w:rPr>
          <w:rFonts w:ascii="Times New Roman" w:eastAsia="Times New Roman" w:hAnsi="Times New Roman"/>
          <w:sz w:val="24"/>
          <w:szCs w:val="24"/>
        </w:rPr>
        <w:lastRenderedPageBreak/>
        <w:t xml:space="preserve">and internal locus of control can influence the tendency to commit financial fraud in Deli Serdang Regency. The findings are expected to </w:t>
      </w:r>
      <w:r>
        <w:rPr>
          <w:rFonts w:ascii="Times New Roman" w:eastAsia="Times New Roman" w:hAnsi="Times New Roman"/>
          <w:sz w:val="24"/>
          <w:szCs w:val="24"/>
        </w:rPr>
        <w:t>provide</w:t>
      </w:r>
      <w:r w:rsidRPr="005B1351">
        <w:rPr>
          <w:rFonts w:ascii="Times New Roman" w:eastAsia="Times New Roman" w:hAnsi="Times New Roman"/>
          <w:sz w:val="24"/>
          <w:szCs w:val="24"/>
        </w:rPr>
        <w:t xml:space="preserve"> meaningful contributions to </w:t>
      </w:r>
      <w:r>
        <w:rPr>
          <w:rFonts w:ascii="Times New Roman" w:eastAsia="Times New Roman" w:hAnsi="Times New Roman"/>
          <w:sz w:val="24"/>
          <w:szCs w:val="24"/>
        </w:rPr>
        <w:t xml:space="preserve">enriching </w:t>
      </w:r>
      <w:r w:rsidRPr="005B1351">
        <w:rPr>
          <w:rFonts w:ascii="Times New Roman" w:eastAsia="Times New Roman" w:hAnsi="Times New Roman"/>
          <w:sz w:val="24"/>
          <w:szCs w:val="24"/>
        </w:rPr>
        <w:t>the underlying causes of financial fraud and to highlight the importance of fostering sound financial behavior among village government officials in Deli Serdang Regency</w:t>
      </w:r>
      <w:r>
        <w:rPr>
          <w:rFonts w:ascii="Times New Roman" w:eastAsia="Times New Roman" w:hAnsi="Times New Roman"/>
          <w:color w:val="000000"/>
          <w:sz w:val="24"/>
          <w:szCs w:val="24"/>
        </w:rPr>
        <w:t>.</w:t>
      </w:r>
    </w:p>
    <w:p w14:paraId="24AF720E" w14:textId="77777777" w:rsidR="00801914" w:rsidRDefault="00801914" w:rsidP="00801914">
      <w:pPr>
        <w:spacing w:line="360" w:lineRule="auto"/>
        <w:ind w:firstLine="720"/>
        <w:jc w:val="both"/>
        <w:rPr>
          <w:rFonts w:ascii="Times New Roman" w:eastAsia="Times New Roman" w:hAnsi="Times New Roman"/>
          <w:color w:val="000000"/>
          <w:sz w:val="24"/>
          <w:szCs w:val="24"/>
        </w:rPr>
      </w:pPr>
    </w:p>
    <w:p w14:paraId="79B74EAF" w14:textId="77777777" w:rsidR="00801914" w:rsidRDefault="00801914" w:rsidP="00801914">
      <w:pPr>
        <w:pBdr>
          <w:top w:val="nil"/>
          <w:left w:val="nil"/>
          <w:bottom w:val="nil"/>
          <w:right w:val="nil"/>
          <w:between w:val="nil"/>
        </w:pBdr>
        <w:spacing w:line="360" w:lineRule="auto"/>
        <w:ind w:right="48"/>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RESEARCH METHOD</w:t>
      </w:r>
    </w:p>
    <w:p w14:paraId="41ECD707" w14:textId="77777777" w:rsidR="00801914" w:rsidRDefault="00801914" w:rsidP="00801914">
      <w:pPr>
        <w:spacing w:line="360" w:lineRule="auto"/>
        <w:ind w:firstLine="567"/>
        <w:jc w:val="both"/>
        <w:rPr>
          <w:rFonts w:ascii="Times New Roman" w:eastAsia="Times New Roman" w:hAnsi="Times New Roman"/>
          <w:sz w:val="24"/>
          <w:szCs w:val="24"/>
          <w:lang w:eastAsia="en-ID"/>
        </w:rPr>
      </w:pPr>
      <w:r w:rsidRPr="00711CE3">
        <w:rPr>
          <w:rFonts w:ascii="Times New Roman" w:eastAsia="Times New Roman" w:hAnsi="Times New Roman"/>
          <w:sz w:val="24"/>
          <w:szCs w:val="24"/>
          <w:lang w:eastAsia="en-ID"/>
        </w:rPr>
        <w:t>The sampling technique employed in th</w:t>
      </w:r>
      <w:r>
        <w:rPr>
          <w:rFonts w:ascii="Times New Roman" w:eastAsia="Times New Roman" w:hAnsi="Times New Roman"/>
          <w:sz w:val="24"/>
          <w:szCs w:val="24"/>
          <w:lang w:eastAsia="en-ID"/>
        </w:rPr>
        <w:t>is study was purposive sampling</w:t>
      </w:r>
      <w:r w:rsidRPr="00711CE3">
        <w:rPr>
          <w:rFonts w:ascii="Times New Roman" w:eastAsia="Times New Roman" w:hAnsi="Times New Roman"/>
          <w:sz w:val="24"/>
          <w:szCs w:val="24"/>
          <w:lang w:eastAsia="en-ID"/>
        </w:rPr>
        <w:t xml:space="preserve"> with the inclusion criteria</w:t>
      </w:r>
      <w:r>
        <w:rPr>
          <w:rFonts w:ascii="Times New Roman" w:eastAsia="Times New Roman" w:hAnsi="Times New Roman"/>
          <w:sz w:val="24"/>
          <w:szCs w:val="24"/>
          <w:lang w:eastAsia="en-ID"/>
        </w:rPr>
        <w:t>,</w:t>
      </w:r>
      <w:r w:rsidRPr="00711CE3">
        <w:rPr>
          <w:rFonts w:ascii="Times New Roman" w:eastAsia="Times New Roman" w:hAnsi="Times New Roman"/>
          <w:sz w:val="24"/>
          <w:szCs w:val="24"/>
          <w:lang w:eastAsia="en-ID"/>
        </w:rPr>
        <w:t xml:space="preserve"> specifying that respondents must be actively serving as village officials in Deli Serdang Regency and </w:t>
      </w:r>
      <w:r w:rsidRPr="00256566">
        <w:rPr>
          <w:rFonts w:ascii="Times New Roman" w:eastAsia="Times New Roman" w:hAnsi="Times New Roman"/>
          <w:sz w:val="24"/>
          <w:szCs w:val="24"/>
          <w:lang w:eastAsia="en-ID"/>
        </w:rPr>
        <w:t>having worked for more than one year</w:t>
      </w:r>
      <w:r w:rsidRPr="00711CE3">
        <w:rPr>
          <w:rFonts w:ascii="Times New Roman" w:eastAsia="Times New Roman" w:hAnsi="Times New Roman"/>
          <w:sz w:val="24"/>
          <w:szCs w:val="24"/>
          <w:lang w:eastAsia="en-ID"/>
        </w:rPr>
        <w:t xml:space="preserve">. </w:t>
      </w:r>
      <w:r w:rsidRPr="00F82A8D">
        <w:rPr>
          <w:rFonts w:ascii="Times New Roman" w:eastAsia="Times New Roman" w:hAnsi="Times New Roman"/>
          <w:sz w:val="24"/>
          <w:szCs w:val="24"/>
          <w:lang w:eastAsia="en-ID"/>
        </w:rPr>
        <w:t>In addition to considerations of practicality for the researcher, the sampling criteria were established to ensure relevance to the research objectives</w:t>
      </w:r>
      <w:r>
        <w:rPr>
          <w:rFonts w:ascii="Times New Roman" w:eastAsia="Times New Roman" w:hAnsi="Times New Roman"/>
          <w:sz w:val="24"/>
          <w:szCs w:val="24"/>
          <w:lang w:eastAsia="en-ID"/>
        </w:rPr>
        <w:t xml:space="preserve">. </w:t>
      </w:r>
      <w:r w:rsidRPr="00711CE3">
        <w:rPr>
          <w:rFonts w:ascii="Times New Roman" w:eastAsia="Times New Roman" w:hAnsi="Times New Roman"/>
          <w:sz w:val="24"/>
          <w:szCs w:val="24"/>
          <w:lang w:eastAsia="en-ID"/>
        </w:rPr>
        <w:t xml:space="preserve">Data collection was conducted online through the distribution of Google Forms </w:t>
      </w:r>
      <w:r w:rsidRPr="00256566">
        <w:rPr>
          <w:rFonts w:ascii="Times New Roman" w:eastAsia="Times New Roman" w:hAnsi="Times New Roman"/>
          <w:sz w:val="24"/>
          <w:szCs w:val="24"/>
          <w:lang w:eastAsia="en-ID"/>
        </w:rPr>
        <w:t>shared with the respondents</w:t>
      </w:r>
      <w:r w:rsidRPr="00711CE3">
        <w:rPr>
          <w:rFonts w:ascii="Times New Roman" w:eastAsia="Times New Roman" w:hAnsi="Times New Roman"/>
          <w:sz w:val="24"/>
          <w:szCs w:val="24"/>
          <w:lang w:eastAsia="en-ID"/>
        </w:rPr>
        <w:t xml:space="preserve">. </w:t>
      </w:r>
      <w:r w:rsidRPr="00256566">
        <w:rPr>
          <w:rFonts w:ascii="Times New Roman" w:eastAsia="Times New Roman" w:hAnsi="Times New Roman"/>
          <w:sz w:val="24"/>
          <w:szCs w:val="24"/>
          <w:lang w:eastAsia="en-ID"/>
        </w:rPr>
        <w:t>The research design was quantitative, with a sample size of 401</w:t>
      </w:r>
      <w:r w:rsidRPr="00711CE3">
        <w:rPr>
          <w:rFonts w:ascii="Times New Roman" w:eastAsia="Times New Roman" w:hAnsi="Times New Roman"/>
          <w:sz w:val="24"/>
          <w:szCs w:val="24"/>
          <w:lang w:eastAsia="en-ID"/>
        </w:rPr>
        <w:t xml:space="preserve"> village </w:t>
      </w:r>
      <w:r>
        <w:rPr>
          <w:rFonts w:ascii="Times New Roman" w:eastAsia="Times New Roman" w:hAnsi="Times New Roman"/>
          <w:sz w:val="24"/>
          <w:szCs w:val="24"/>
          <w:lang w:eastAsia="en-ID"/>
        </w:rPr>
        <w:t>officials</w:t>
      </w:r>
      <w:r w:rsidRPr="00711CE3">
        <w:rPr>
          <w:rFonts w:ascii="Times New Roman" w:eastAsia="Times New Roman" w:hAnsi="Times New Roman"/>
          <w:sz w:val="24"/>
          <w:szCs w:val="24"/>
          <w:lang w:eastAsia="en-ID"/>
        </w:rPr>
        <w:t xml:space="preserve">, </w:t>
      </w:r>
      <w:r>
        <w:rPr>
          <w:rFonts w:ascii="Times New Roman" w:eastAsia="Times New Roman" w:hAnsi="Times New Roman"/>
          <w:sz w:val="24"/>
          <w:szCs w:val="24"/>
          <w:lang w:eastAsia="en-ID"/>
        </w:rPr>
        <w:t xml:space="preserve">including village heads, </w:t>
      </w:r>
      <w:r w:rsidRPr="00711CE3">
        <w:rPr>
          <w:rFonts w:ascii="Times New Roman" w:eastAsia="Times New Roman" w:hAnsi="Times New Roman"/>
          <w:sz w:val="24"/>
          <w:szCs w:val="24"/>
          <w:lang w:eastAsia="en-ID"/>
        </w:rPr>
        <w:t xml:space="preserve">village secretaries, heads of administrative sections, </w:t>
      </w:r>
      <w:r w:rsidRPr="004E5F33">
        <w:rPr>
          <w:rFonts w:ascii="Times New Roman" w:eastAsia="Times New Roman" w:hAnsi="Times New Roman"/>
          <w:sz w:val="24"/>
          <w:szCs w:val="24"/>
          <w:lang w:eastAsia="en-ID"/>
        </w:rPr>
        <w:t>Village Representative Council</w:t>
      </w:r>
      <w:r>
        <w:rPr>
          <w:rFonts w:ascii="Times New Roman" w:eastAsia="Times New Roman" w:hAnsi="Times New Roman"/>
          <w:sz w:val="24"/>
          <w:szCs w:val="24"/>
          <w:lang w:eastAsia="en-ID"/>
        </w:rPr>
        <w:t xml:space="preserve"> (BPD)</w:t>
      </w:r>
      <w:r w:rsidRPr="00711CE3">
        <w:rPr>
          <w:rFonts w:ascii="Times New Roman" w:eastAsia="Times New Roman" w:hAnsi="Times New Roman"/>
          <w:sz w:val="24"/>
          <w:szCs w:val="24"/>
          <w:lang w:eastAsia="en-ID"/>
        </w:rPr>
        <w:t xml:space="preserve">, and </w:t>
      </w:r>
      <w:r>
        <w:rPr>
          <w:rFonts w:ascii="Times New Roman" w:eastAsia="Times New Roman" w:hAnsi="Times New Roman"/>
          <w:sz w:val="24"/>
          <w:szCs w:val="24"/>
          <w:lang w:eastAsia="en-ID"/>
        </w:rPr>
        <w:t>village chiefs</w:t>
      </w:r>
      <w:r w:rsidRPr="00711CE3">
        <w:rPr>
          <w:rFonts w:ascii="Times New Roman" w:eastAsia="Times New Roman" w:hAnsi="Times New Roman"/>
          <w:sz w:val="24"/>
          <w:szCs w:val="24"/>
          <w:lang w:eastAsia="en-ID"/>
        </w:rPr>
        <w:t>.</w:t>
      </w:r>
    </w:p>
    <w:p w14:paraId="3601F937" w14:textId="12FD2AA0" w:rsidR="00801914" w:rsidRDefault="00801914" w:rsidP="00801914">
      <w:pPr>
        <w:spacing w:line="360" w:lineRule="auto"/>
        <w:ind w:firstLine="567"/>
        <w:jc w:val="both"/>
        <w:rPr>
          <w:rFonts w:ascii="Times New Roman" w:eastAsia="Times New Roman" w:hAnsi="Times New Roman"/>
          <w:sz w:val="24"/>
          <w:szCs w:val="24"/>
        </w:rPr>
      </w:pPr>
      <w:r w:rsidRPr="00711CE3">
        <w:rPr>
          <w:rFonts w:ascii="Times New Roman" w:eastAsia="Times New Roman" w:hAnsi="Times New Roman"/>
          <w:sz w:val="24"/>
          <w:szCs w:val="24"/>
        </w:rPr>
        <w:t>The study utilized standardized scales to</w:t>
      </w:r>
      <w:r>
        <w:rPr>
          <w:rFonts w:ascii="Times New Roman" w:eastAsia="Times New Roman" w:hAnsi="Times New Roman"/>
          <w:sz w:val="24"/>
          <w:szCs w:val="24"/>
        </w:rPr>
        <w:t xml:space="preserve"> measure the research variables.</w:t>
      </w:r>
      <w:r w:rsidRPr="00711CE3">
        <w:rPr>
          <w:rFonts w:ascii="Times New Roman" w:eastAsia="Times New Roman" w:hAnsi="Times New Roman"/>
          <w:sz w:val="24"/>
          <w:szCs w:val="24"/>
        </w:rPr>
        <w:t xml:space="preserve"> </w:t>
      </w:r>
      <w:r w:rsidRPr="00256566">
        <w:rPr>
          <w:rFonts w:ascii="Times New Roman" w:eastAsia="Times New Roman" w:hAnsi="Times New Roman"/>
          <w:sz w:val="24"/>
          <w:szCs w:val="24"/>
        </w:rPr>
        <w:t xml:space="preserve">The scales used were </w:t>
      </w:r>
      <w:r>
        <w:rPr>
          <w:rFonts w:ascii="Times New Roman" w:eastAsia="Times New Roman" w:hAnsi="Times New Roman"/>
          <w:sz w:val="24"/>
          <w:szCs w:val="24"/>
        </w:rPr>
        <w:t>t</w:t>
      </w:r>
      <w:r w:rsidRPr="00711CE3">
        <w:rPr>
          <w:rFonts w:ascii="Times New Roman" w:eastAsia="Times New Roman" w:hAnsi="Times New Roman"/>
          <w:sz w:val="24"/>
          <w:szCs w:val="24"/>
        </w:rPr>
        <w:t xml:space="preserve">he financial fraud tendency scale, the financial behavior scale, and the internal locus of control scale. All three instruments employed a Likert-type response format. The financial fraud tendency scale </w:t>
      </w:r>
      <w:r>
        <w:rPr>
          <w:rFonts w:ascii="Times New Roman" w:eastAsia="Times New Roman" w:hAnsi="Times New Roman"/>
          <w:sz w:val="24"/>
          <w:szCs w:val="24"/>
        </w:rPr>
        <w:t>is</w:t>
      </w:r>
      <w:r w:rsidRPr="00711CE3">
        <w:rPr>
          <w:rFonts w:ascii="Times New Roman" w:eastAsia="Times New Roman" w:hAnsi="Times New Roman"/>
          <w:sz w:val="24"/>
          <w:szCs w:val="24"/>
        </w:rPr>
        <w:t xml:space="preserve"> based on </w:t>
      </w:r>
      <w:r>
        <w:rPr>
          <w:rFonts w:ascii="Times New Roman" w:eastAsia="Times New Roman" w:hAnsi="Times New Roman"/>
          <w:sz w:val="24"/>
          <w:szCs w:val="24"/>
        </w:rPr>
        <w:t>fraud triangle theory by</w:t>
      </w:r>
      <w:r w:rsidRPr="00711CE3">
        <w:rPr>
          <w:rFonts w:ascii="Times New Roman" w:eastAsia="Times New Roman" w:hAnsi="Times New Roman"/>
          <w:sz w:val="24"/>
          <w:szCs w:val="24"/>
        </w:rPr>
        <w:t xml:space="preserve">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{"citationItems":[{"id":"ITEM-1","itemData":{"abstract":"WHY, AFTER YEARS OF HONEST WORK, DOES A MAN SUDDENLY START DIPPING INTO COMPANY FUNDS? THIS REPRINT OF A 1953 CLASSIC STUDY BY DONALD CRESSEY OFFERS A SOCIOLOGICAL THEORY WHICH IDENTIFIES FACTORS LEADING TO EMBEZZLEMENT. THE STUDY WAS LIMITED TO TRUST VIOLATION CASES, WHERE THE EMBEZZLER HAD ACCEPTED A POSITION OF TRUST IN GOOD FAITH, AND HAD VIOLATED THAT TRUST BY COMMITTING A CRIME. CRESSEY EXAMINED CASES COLLECTED BY OTHER INVESTIGATORS AND INTERVIEWED CONVICTED MEN WHO RELATED IN THEIR OWN WORDS HOW THEY CAME TO COMMIT THEIR CRIMES. IN THESE ACCOUNTS HE DISCOVERED THREE CIRCUMSTANCES COMMON TO CASES OF TRUST VIOLATION. FIRST, THE POTENTIAL EMBEZZLER HAD A FINANCIAL PROBLEM WHICH HE FELT UNABLE TO SHARE WITH OTHER PEOPLE. SECOND, HE SAW THE VIOLATION OF HIS TRUST AS AN OPPORTUNITY TO SOLVE HIS FINANCIAL PROBLEM. AND THIRD, HE RATIONALIZED THE ACT TO HIMSELF BEFORE COMMISSION. NUMEROUS CASE HISTORIES VIVIDLY ILLUSTRATE THESE CIRCUMSTANCES AND GIVE THE READER A VALUABLE INSIGHT INTO THE EMBEZZLER'S SITUATION AS HE HIMSELF SEES IT. THIS WELL-ORGANIZED, CLEARLY WRITTEN STUDY SHOULD INTEREST THE AVERAGE CITIZEN AS WELL AS SOCIOLOGISTS AND LAW ENFORCEMENT PROFESSIONALS.","author":[{"dropping-particle":"","family":"Cressey","given":"Donald Ray","non-dropping-particle":"","parse-names":false,"suffix":""}],"container-title":"Free Press","id":"ITEM-1","issued":{"date-parts":[["1953"]]},"title":"Other people's money; a study of the social psychology of","type":"book"},"uris":["http://www.mendeley.com/documents/?uuid=91cf8b9c-7e62-3f17-a88f-7f91b0bb3bf0"]}],"mendeley":{"formattedCitation":"(Cressey, 1953)","manualFormatting":"Cressey (1953)","plainTextFormattedCitation":"(Cressey, 1953)","previouslyFormattedCitation":"(Cressey, 1953)"},"properties":{"noteIndex":0},"schema":"https://github.com/citation-style-language/schema/raw/master/csl-citation.json"}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Cressey (1953)</w:t>
      </w:r>
      <w:r w:rsidRPr="00711CE3">
        <w:rPr>
          <w:rFonts w:ascii="Times New Roman" w:eastAsia="Times New Roman" w:hAnsi="Times New Roman"/>
          <w:sz w:val="24"/>
          <w:szCs w:val="24"/>
        </w:rPr>
        <w:fldChar w:fldCharType="end"/>
      </w:r>
      <w:r>
        <w:rPr>
          <w:rFonts w:ascii="Times New Roman" w:eastAsia="Times New Roman" w:hAnsi="Times New Roman"/>
          <w:sz w:val="24"/>
          <w:szCs w:val="24"/>
        </w:rPr>
        <w:t>, which is based on</w:t>
      </w:r>
      <w:r w:rsidRPr="00711CE3">
        <w:rPr>
          <w:rFonts w:ascii="Times New Roman" w:eastAsia="Times New Roman" w:hAnsi="Times New Roman"/>
          <w:sz w:val="24"/>
          <w:szCs w:val="24"/>
        </w:rPr>
        <w:t xml:space="preserve"> the dimensions of pressure, o</w:t>
      </w:r>
      <w:r>
        <w:rPr>
          <w:rFonts w:ascii="Times New Roman" w:eastAsia="Times New Roman" w:hAnsi="Times New Roman"/>
          <w:sz w:val="24"/>
          <w:szCs w:val="24"/>
        </w:rPr>
        <w:t xml:space="preserve">pportunity, and rationalization, </w:t>
      </w:r>
      <w:r w:rsidRPr="00711CE3">
        <w:rPr>
          <w:rFonts w:ascii="Times New Roman" w:eastAsia="Times New Roman" w:hAnsi="Times New Roman"/>
          <w:sz w:val="24"/>
          <w:szCs w:val="24"/>
        </w:rPr>
        <w:t xml:space="preserve">was subsequently adapted by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{"citationItems":[{"id":"ITEM-1","itemData":{"author":[{"dropping-particle":"","family":"Lingga","given":"Rafli Alvaro","non-dropping-particle":"","parse-names":false,"suffix":""}],"container-title":"Call for Papers Jurnal Tata Kelola &amp; Akuntabilitas Keuangan Negara","id":"ITEM-1","issue":"April","issued":{"date-parts":[["2019"]]},"title":"Dimensi Fraud Triangle Sebagai Determinan Kecenderungan Kecurangan (Fraud) Pada Proses Akuntansi Dimensi Fraud Triangle Sebagai Determinan","type":"article-journal"},"uris":["http://www.mendeley.com/documents/?uuid=8839ab48-4662-464a-9362-76f5f8493c86"]}],"mendeley":{"formattedCitation":"(Lingga, 2019)","manualFormatting":"Lingga (2019)","plainTextFormattedCitation":"(Lingga, 2019)","previouslyFormattedCitation":"(Lingga, 2019)"},"properties":{"noteIndex":0},"schema":"https://github.com/citation-style-language/schema/raw/master/csl-citation.json"}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Lingga (2019)</w:t>
      </w:r>
      <w:r w:rsidRPr="00711CE3">
        <w:rPr>
          <w:rFonts w:ascii="Times New Roman" w:eastAsia="Times New Roman" w:hAnsi="Times New Roman"/>
          <w:sz w:val="24"/>
          <w:szCs w:val="24"/>
        </w:rPr>
        <w:fldChar w:fldCharType="end"/>
      </w:r>
      <w:r w:rsidRPr="00711CE3">
        <w:rPr>
          <w:rFonts w:ascii="Times New Roman" w:eastAsia="Times New Roman" w:hAnsi="Times New Roman"/>
          <w:sz w:val="24"/>
          <w:szCs w:val="24"/>
        </w:rPr>
        <w:t xml:space="preserve">. This scale consisted of 20 items with </w:t>
      </w:r>
      <w:r>
        <w:rPr>
          <w:rFonts w:ascii="Times New Roman" w:eastAsia="Times New Roman" w:hAnsi="Times New Roman"/>
          <w:sz w:val="24"/>
          <w:szCs w:val="24"/>
        </w:rPr>
        <w:t>5</w:t>
      </w:r>
      <w:r w:rsidRPr="00711CE3">
        <w:rPr>
          <w:rFonts w:ascii="Times New Roman" w:eastAsia="Times New Roman" w:hAnsi="Times New Roman"/>
          <w:sz w:val="24"/>
          <w:szCs w:val="24"/>
        </w:rPr>
        <w:t xml:space="preserve"> response options. </w:t>
      </w:r>
      <w:r w:rsidRPr="00F300CA">
        <w:rPr>
          <w:rFonts w:ascii="Times New Roman" w:eastAsia="Times New Roman" w:hAnsi="Times New Roman"/>
          <w:sz w:val="24"/>
          <w:szCs w:val="24"/>
        </w:rPr>
        <w:t>Pilot testing confirmed its psychometric quality, with outer loadings exceeding 0.70 and a Cronbach’s alpha coefficient of 0.977, indicating excellent reliability.</w:t>
      </w:r>
      <w:r>
        <w:rPr>
          <w:rFonts w:ascii="Times New Roman" w:eastAsia="Times New Roman" w:hAnsi="Times New Roman"/>
          <w:sz w:val="24"/>
          <w:szCs w:val="24"/>
        </w:rPr>
        <w:t xml:space="preserve"> </w:t>
      </w:r>
      <w:r w:rsidRPr="00711CE3">
        <w:rPr>
          <w:rFonts w:ascii="Times New Roman" w:eastAsia="Times New Roman" w:hAnsi="Times New Roman"/>
          <w:sz w:val="24"/>
          <w:szCs w:val="24"/>
        </w:rPr>
        <w:t xml:space="preserve">The financial behavior variable was measured using the financial behavior scale developed by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{"citationItems":[{"id":"ITEM-1","itemData":{"abstract":"Penelitian ini bertujuan untuk mengkaji pengaruh pengetahuan keuangan, pengalaman keuangan, dan pendapatan terhadap perilaku keuangan keluarga. Metode pengambilan sampel yang digunakan adalah purposive sampling dan convenience sampling. Responden dalam penelitian ini adalah pengelola keuangan keluarga di Madiun, Jawa Timur. Terdapat 162 responden yang terlibat dalam penelitian ini. Penelitian ini menggunakan analisis regresi berganda sebagai alat analisis. Hasil penelitian menunjukkan bahwa pengalaman keuangan dan pengetahuan keuangan berpengaruh positif terhadap perilaku pengelolaan keuangan. Selain itu, terdapat perbedaan perilaku pengelolaan keluarga berdasarkan pendapatannya. Penelitian ini memiliki implikasi bahwa pengelola keuangan keluarga perlu meningkatkan pengetahuan dan pengalaman keuangannya, seperti di bidang perbankan dan pasar modal, agar dapat mengelola keuangan keluarganya dengan lebih baik.","author":[{"dropping-particle":"","family":"Brilianti","given":"Tirani Rahma","non-dropping-particle":"","parse-names":false,"suffix":""},{"dropping-particle":"","family":"Lutfi","given":"Lutfi","non-dropping-particle":"","parse-names":false,"suffix":""}],"container-title":"Journal of Business and Banking","id":"ITEM-1","issue":"2","issued":{"date-parts":[["2020"]]},"page":"1-17","title":"Pengalaman Keuangan , dan Pendapatan terhadap Perilaku Keuangan Keluarga","type":"article-journal","volume":"9"},"uris":["http://www.mendeley.com/documents/?uuid=bf5b7106-5116-42de-9404-0a75bdf812dc"]}],"mendeley":{"formattedCitation":"(Brilianti &amp; Lutfi, 2020)","manualFormatting":"Brilianti &amp; Lutfi (2020)","plainTextFormattedCitation":"(Brilianti &amp; Lutfi, 2020)","previouslyFormattedCitation":"(Brilianti &amp; Lutfi, 2020)"},"properties":{"noteIndex":0},"schema":"https://github.com/citation-style-language/schema/raw/master/csl-citation.json"}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Brilianti &amp; Lutfi (2020)</w:t>
      </w:r>
      <w:r w:rsidRPr="00711CE3">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r w:rsidRPr="00711CE3">
        <w:rPr>
          <w:rFonts w:ascii="Times New Roman" w:eastAsia="Times New Roman" w:hAnsi="Times New Roman"/>
          <w:sz w:val="24"/>
          <w:szCs w:val="24"/>
        </w:rPr>
        <w:t>which is grounded in the theoretical framework proposed by</w:t>
      </w:r>
      <w:r>
        <w:rPr>
          <w:rFonts w:ascii="Times New Roman" w:eastAsia="Times New Roman" w:hAnsi="Times New Roman"/>
          <w:sz w:val="24"/>
          <w:szCs w:val="24"/>
        </w:rPr>
        <w:t xml:space="preserve">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{"citationItems":[{"id":"ITEM-1","itemData":{"DOI":"10.1111/j.1745-6606.2008.01128.x","ISSN":"00220078","abstract":"Using a cross-cultural conceptualization with a targeted sample of Americans and Koreans, it was noted that Koreans exhibited more responsible financial management behavior than Americans after controlling for locus of control, financial knowledge, and income interactions. Overall, financial knowledge was positively related to responsible financial behavior. No direct effects on financial management behavior were noted for locus of control or household income. Locus of control was found to mediate the effect of financial knowledge on financial behavior for Koreans. Being Korean did moderate between financial knowledge and financial behavior. © Copyright 2009 by The American Council on Consumer Interests.","author":[{"dropping-particle":"","family":"Grable","given":"John E.","non-dropping-particle":"","parse-names":false,"suffix":""},{"dropping-particle":"","family":"Park","given":"Joo Yung","non-dropping-particle":"","parse-names":false,"suffix":""},{"dropping-particle":"","family":"Joo","given":"So Hyun","non-dropping-particle":"","parse-names":false,"suffix":""}],"container-title":"Journal of Consumer Affairs","id":"ITEM-1","issue":"1","issued":{"date-parts":[["2009"]]},"title":"Explaining financial management behavior for koreans living in the united states","type":"article-journal","volume":"43"},"uris":["http://www.mendeley.com/documents/?uuid=a6619998-3236-31a9-82d3-39ff41d3ddd9"]}],"mendeley":{"formattedCitation":"(Grable et al., 2009)","manualFormatting":"Grable et al. (2009)","plainTextFormattedCitation":"(Grable et al., 2009)","previouslyFormattedCitation":"(Grable et al., 2009)"},"properties":{"noteIndex":0},"schema":"https://github.com/citation-style-language/schema/raw/master/csl-citation.json"}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Grable et al. (2009)</w:t>
      </w:r>
      <w:r w:rsidRPr="00711CE3">
        <w:rPr>
          <w:rFonts w:ascii="Times New Roman" w:eastAsia="Times New Roman" w:hAnsi="Times New Roman"/>
          <w:sz w:val="24"/>
          <w:szCs w:val="24"/>
        </w:rPr>
        <w:fldChar w:fldCharType="end"/>
      </w:r>
      <w:r>
        <w:rPr>
          <w:rFonts w:ascii="Times New Roman" w:eastAsia="Times New Roman" w:hAnsi="Times New Roman"/>
          <w:sz w:val="24"/>
          <w:szCs w:val="24"/>
        </w:rPr>
        <w:t>.</w:t>
      </w:r>
      <w:r w:rsidRPr="00711CE3">
        <w:rPr>
          <w:rFonts w:ascii="Times New Roman" w:eastAsia="Times New Roman" w:hAnsi="Times New Roman"/>
          <w:sz w:val="24"/>
          <w:szCs w:val="24"/>
        </w:rPr>
        <w:t xml:space="preserve"> The construct encompasses </w:t>
      </w:r>
      <w:r>
        <w:rPr>
          <w:rFonts w:ascii="Times New Roman" w:eastAsia="Times New Roman" w:hAnsi="Times New Roman"/>
          <w:sz w:val="24"/>
          <w:szCs w:val="24"/>
        </w:rPr>
        <w:t>5 indicators, namely controlling expenses</w:t>
      </w:r>
      <w:r w:rsidRPr="00711CE3">
        <w:rPr>
          <w:rFonts w:ascii="Times New Roman" w:eastAsia="Times New Roman" w:hAnsi="Times New Roman"/>
          <w:sz w:val="24"/>
          <w:szCs w:val="24"/>
        </w:rPr>
        <w:t xml:space="preserve">, paying bills on time, making future financial plans, saving periodically, and allocating funds for personal and family needs. </w:t>
      </w:r>
      <w:r w:rsidRPr="00F300CA">
        <w:rPr>
          <w:rFonts w:ascii="Times New Roman" w:eastAsia="Times New Roman" w:hAnsi="Times New Roman"/>
          <w:sz w:val="24"/>
          <w:szCs w:val="24"/>
        </w:rPr>
        <w:t>A pilot test conducted by the researcher on 45 respondents demonstrated satisfactory psychometric properties, with Cronbach’s alpha of 0.810 and Pearson’s r values ranging from 0.540 to 0.840</w:t>
      </w:r>
      <w:r>
        <w:rPr>
          <w:rFonts w:ascii="Times New Roman" w:eastAsia="Times New Roman" w:hAnsi="Times New Roman"/>
          <w:sz w:val="24"/>
          <w:szCs w:val="24"/>
        </w:rPr>
        <w:t xml:space="preserve">. </w:t>
      </w:r>
      <w:r w:rsidRPr="00711CE3">
        <w:rPr>
          <w:rFonts w:ascii="Times New Roman" w:eastAsia="Times New Roman" w:hAnsi="Times New Roman"/>
          <w:sz w:val="24"/>
          <w:szCs w:val="24"/>
        </w:rPr>
        <w:t xml:space="preserve">This scale </w:t>
      </w:r>
      <w:proofErr w:type="gramStart"/>
      <w:r>
        <w:rPr>
          <w:rFonts w:ascii="Times New Roman" w:eastAsia="Times New Roman" w:hAnsi="Times New Roman"/>
          <w:sz w:val="24"/>
          <w:szCs w:val="24"/>
        </w:rPr>
        <w:t>consist</w:t>
      </w:r>
      <w:proofErr w:type="gramEnd"/>
      <w:r>
        <w:rPr>
          <w:rFonts w:ascii="Times New Roman" w:eastAsia="Times New Roman" w:hAnsi="Times New Roman"/>
          <w:sz w:val="24"/>
          <w:szCs w:val="24"/>
        </w:rPr>
        <w:t xml:space="preserve"> of </w:t>
      </w:r>
      <w:r w:rsidRPr="00711CE3">
        <w:rPr>
          <w:rFonts w:ascii="Times New Roman" w:eastAsia="Times New Roman" w:hAnsi="Times New Roman"/>
          <w:sz w:val="24"/>
          <w:szCs w:val="24"/>
        </w:rPr>
        <w:t xml:space="preserve">8 items with </w:t>
      </w:r>
      <w:r>
        <w:rPr>
          <w:rFonts w:ascii="Times New Roman" w:eastAsia="Times New Roman" w:hAnsi="Times New Roman"/>
          <w:sz w:val="24"/>
          <w:szCs w:val="24"/>
        </w:rPr>
        <w:t>5</w:t>
      </w:r>
      <w:r w:rsidRPr="00711CE3">
        <w:rPr>
          <w:rFonts w:ascii="Times New Roman" w:eastAsia="Times New Roman" w:hAnsi="Times New Roman"/>
          <w:sz w:val="24"/>
          <w:szCs w:val="24"/>
        </w:rPr>
        <w:t xml:space="preserve"> response options. </w:t>
      </w:r>
      <w:r>
        <w:rPr>
          <w:rFonts w:ascii="Times New Roman" w:eastAsia="Times New Roman" w:hAnsi="Times New Roman"/>
          <w:sz w:val="24"/>
          <w:szCs w:val="24"/>
        </w:rPr>
        <w:t>Meanwhile, t</w:t>
      </w:r>
      <w:r w:rsidRPr="00711CE3">
        <w:rPr>
          <w:rFonts w:ascii="Times New Roman" w:eastAsia="Times New Roman" w:hAnsi="Times New Roman"/>
          <w:sz w:val="24"/>
          <w:szCs w:val="24"/>
        </w:rPr>
        <w:t>he internal locus of control variable was assessed using a unidimensional scale developed by</w:t>
      </w:r>
      <w:r>
        <w:rPr>
          <w:rFonts w:ascii="Times New Roman" w:eastAsia="Times New Roman" w:hAnsi="Times New Roman"/>
          <w:sz w:val="24"/>
          <w:szCs w:val="24"/>
        </w:rPr>
        <w:t xml:space="preserve">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{"citationItems":[{"id":"ITEM-1","itemData":{"DOI":"10.36226/jrmb.v2i3.76","ISSN":"2527-7502","abstract":"This article aims to develop a short form of the locus of control scale. The study was conducted in two stages: a study of 66 respondents as pilot testing which aims to test content validity, structure validity, and internal consistency. Study 2 was conducted on 328 respondents used to test the validity and reliability of the scale evaluated by the PLS-SEM method (such as internal consistency, convergent validity, and discriminant validity). The analysis concludes that the 8-item locus of control scales tested have adequate validity and reliability. A short form locus of control scale was developed and validated in this study, so it can be used in future research and evaluation for HR management practitioners in employee selection\r \r Keywords: locus of control, EFA, CFA, scale construction","author":[{"dropping-particle":"","family":"Hendryadi","given":"Hendryadi","non-dropping-particle":"","parse-names":false,"suffix":""}],"container-title":"Jurnal Riset Manajemen dan Bisnis (JRMB) Fakultas Ekonomi UNIAT","id":"ITEM-1","issue":"3","issued":{"date-parts":[["2017"]]},"page":"417-424","title":"Pengembangan Skala Locus of Control","type":"article-journal","volume":"2"},"uris":["http://www.mendeley.com/documents/?uuid=ef94fb57-9d28-42ee-9479-ef45de34bc54"]}],"mendeley":{"formattedCitation":"(Hendryadi, 2017)","manualFormatting":"Hendryadi (2017)","plainTextFormattedCitation":"(Hendryadi, 2017)","previouslyFormattedCitation":"(Hendryadi, 2017)"},"properties":{"noteIndex":0},"schema":"https://github.com/citation-style-language/schema/raw/master/csl-citation.json"}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Hendryadi (2017)</w:t>
      </w:r>
      <w:r w:rsidRPr="00711CE3">
        <w:rPr>
          <w:rFonts w:ascii="Times New Roman" w:eastAsia="Times New Roman" w:hAnsi="Times New Roman"/>
          <w:sz w:val="24"/>
          <w:szCs w:val="24"/>
        </w:rPr>
        <w:fldChar w:fldCharType="end"/>
      </w:r>
      <w:r w:rsidRPr="00711CE3">
        <w:rPr>
          <w:rFonts w:ascii="Times New Roman" w:eastAsia="Times New Roman" w:hAnsi="Times New Roman"/>
          <w:sz w:val="24"/>
          <w:szCs w:val="24"/>
        </w:rPr>
        <w:t>, focusing specifically on internal locus of control. Six items were selected for this study, each rated on a seven-point Likert scale</w:t>
      </w:r>
      <w:r>
        <w:rPr>
          <w:rFonts w:ascii="Times New Roman" w:eastAsia="Times New Roman" w:hAnsi="Times New Roman"/>
          <w:sz w:val="24"/>
          <w:szCs w:val="24"/>
        </w:rPr>
        <w:t xml:space="preserve">. </w:t>
      </w:r>
      <w:r w:rsidRPr="00F300CA">
        <w:rPr>
          <w:rFonts w:ascii="Times New Roman" w:eastAsia="Times New Roman" w:hAnsi="Times New Roman"/>
          <w:sz w:val="24"/>
          <w:szCs w:val="24"/>
        </w:rPr>
        <w:t>A pilot test conducted by the researcher on 45 respondents demonstrated satisfactory psychometric properties, with Cronbach’s alpha of 0.810 and Pearson’s r values ranging from 0.540 to 0.840</w:t>
      </w:r>
      <w:r w:rsidR="00FD36AD">
        <w:rPr>
          <w:rFonts w:ascii="Times New Roman" w:eastAsia="Times New Roman" w:hAnsi="Times New Roman"/>
          <w:sz w:val="24"/>
          <w:szCs w:val="24"/>
        </w:rPr>
        <w:t>.</w:t>
      </w:r>
    </w:p>
    <w:p w14:paraId="04C28C60" w14:textId="77777777" w:rsidR="00801914" w:rsidRPr="00711CE3" w:rsidRDefault="00801914" w:rsidP="00801914">
      <w:pPr>
        <w:spacing w:line="360" w:lineRule="auto"/>
        <w:ind w:firstLine="567"/>
        <w:jc w:val="both"/>
        <w:rPr>
          <w:rFonts w:ascii="Times New Roman" w:eastAsia="Times New Roman" w:hAnsi="Times New Roman"/>
          <w:sz w:val="24"/>
          <w:szCs w:val="24"/>
        </w:rPr>
      </w:pPr>
      <w:r w:rsidRPr="00711CE3">
        <w:rPr>
          <w:rFonts w:ascii="Times New Roman" w:eastAsia="Times New Roman" w:hAnsi="Times New Roman"/>
          <w:sz w:val="24"/>
          <w:szCs w:val="24"/>
        </w:rPr>
        <w:lastRenderedPageBreak/>
        <w:t xml:space="preserve">The collected data </w:t>
      </w:r>
      <w:r w:rsidRPr="00256566">
        <w:rPr>
          <w:rFonts w:ascii="Times New Roman" w:eastAsia="Times New Roman" w:hAnsi="Times New Roman"/>
          <w:sz w:val="24"/>
          <w:szCs w:val="24"/>
        </w:rPr>
        <w:t xml:space="preserve">were statistically analyzed </w:t>
      </w:r>
      <w:r w:rsidRPr="00711CE3">
        <w:rPr>
          <w:rFonts w:ascii="Times New Roman" w:eastAsia="Times New Roman" w:hAnsi="Times New Roman"/>
          <w:sz w:val="24"/>
          <w:szCs w:val="24"/>
        </w:rPr>
        <w:t xml:space="preserve">using the JASP statistical software, employing multiple regression analysis. This method not only determines the extent to which independent variables influence the dependent variable but also predicts the value of the dependent variable based on two or more independent variables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{"citationItems":[{"id":"ITEM-1","itemData":{"author":[{"dropping-particle":"","family":"Sugiyono","given":"","non-dropping-particle":"","parse-names":false,"suffix":""}],"edition":"Cetakan ke","id":"ITEM-1","issued":{"date-parts":[["2022"]]},"number-of-pages":"546","publisher":"Alfabeta","publisher-place":"Bandung","title":"Metode Penelitian Kuantitatif","type":"book"},"uris":["http://www.mendeley.com/documents/?uuid=524350a7-25cb-4c20-b076-06ba8997c657"]}],"mendeley":{"formattedCitation":"(Sugiyono, 2022)","plainTextFormattedCitation":"(Sugiyono, 2022)","previouslyFormattedCitation":"(Sugiyono, 2022)"},"properties":{"noteIndex":0},"schema":"https://github.com/citation-style-language/schema/raw/master/csl-citation.json"}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(Sugiyono, 2022)</w:t>
      </w:r>
      <w:r w:rsidRPr="00711CE3">
        <w:rPr>
          <w:rFonts w:ascii="Times New Roman" w:eastAsia="Times New Roman" w:hAnsi="Times New Roman"/>
          <w:sz w:val="24"/>
          <w:szCs w:val="24"/>
        </w:rPr>
        <w:fldChar w:fldCharType="end"/>
      </w:r>
      <w:r w:rsidRPr="00711CE3">
        <w:rPr>
          <w:rFonts w:ascii="Times New Roman" w:eastAsia="Times New Roman" w:hAnsi="Times New Roman"/>
          <w:sz w:val="24"/>
          <w:szCs w:val="24"/>
        </w:rPr>
        <w:t xml:space="preserve">. </w:t>
      </w:r>
      <w:r w:rsidRPr="007F3686">
        <w:rPr>
          <w:rFonts w:ascii="Times New Roman" w:eastAsia="Times New Roman" w:hAnsi="Times New Roman"/>
          <w:sz w:val="24"/>
          <w:szCs w:val="24"/>
        </w:rPr>
        <w:t>Before conducting</w:t>
      </w:r>
      <w:r w:rsidRPr="00711CE3">
        <w:rPr>
          <w:rFonts w:ascii="Times New Roman" w:eastAsia="Times New Roman" w:hAnsi="Times New Roman"/>
          <w:sz w:val="24"/>
          <w:szCs w:val="24"/>
        </w:rPr>
        <w:t xml:space="preserve"> hypothesis testing, item–total correlation validity tests were conducted, with a minimum acceptable coefficient of &gt;0.40, along with reliability testing requiring Cronbach’s alpha values of &gt;0.70. The assumption tests performed included a normality test using visual inspection of the Q–Q plot, as well as skewness and kurtosis values within the range of −2 to +2, which were considered indicative of normally distributed data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{"citationItems":[{"id":"ITEM-1","itemData":{"abstract":"4th ed. 1. An Overview of SPSS for Windows Step by Step 1 -- 2. SPSS Windows Processes: Mouse and keyboard processing, frequently-used dialog boxes, editing output, printing results, the Options Option 9 -- 3. Creating and Editing a Data File 27 -- 4. Managing Data: Listing cases, replacing missing values, computing new variables, recoding variables, exploring data, selecting cases, sorting cases, merging files 43 -- 5. Graphs: Creating and editing graphs and charts 67 -- Base System Module -- 6. Frequencies: Frequencies, bar charts, histograms, percentiles 83 -- 7. Descriptive Statistics: Measures of central tendency, variability, deviation from normality, size, and stability 95 -- 8. Crosstabulation and Chi-Square (x[superscript 2]) Analyses 105 -- 9. The Means Procedure 115 -- 10. Bivariate Correlation: Bivariate correlations, partial correlations, and the correlation matrix 123 -- 11. The T Test Procedure: Independent-samples, paired-samples, and one-sample tests 133 -- 12. The One-Way Anova Procedure: One-way Analysis of Variance 143 -- 13. General Linear Models: Two-Way Analysis of Variance 153 -- 14. General Linear Models: Three-Way Analysis of Variance and the influence of covariates 161 -- 15. Simple Linear Regression 177 -- 16. Multiple Regression Analysis 191 -- 17. Nonparametric Procedures 207 -- 18. Reliability Analysis: Coefficient alpha ([alpha]) and split-half reliability 221 -- 19. Multidimensional Scaling 233 -- 20. Factor Analysis 245 -- 21. Cluster Analysis 261 -- 22. Discriminant Analysis 277 -- Advanced and Regression Modules -- 23. General Linear Models: Manova and Mancova: Multivariate Analysis of Variance and Covariance 293 -- 24. General Linear Models: Repeated-Measures Manova: Multivariate Analysis of Variance with repeated measures and within-subjects factors 309 -- 25. Logistic Regression 321 -- 26. Hierarchical Loglinear Models 333 -- 27. General Loglinear Models 347 -- 28. Residuals: Analyzing left-over variance 357 -- Data Disk 365.","author":[{"dropping-particle":"","family":"George","given":"Darren","non-dropping-particle":"","parse-names":false,"suffix":""},{"dropping-particle":"","family":"Mallery","given":"Paul","non-dropping-particle":"","parse-names":false,"suffix":""}],"container-title":"Boston: Pearson Education","id":"ITEM-1","issued":{"date-parts":[["2010"]]},"title":"SPSS for Windows Step by Step: A Simple Guide and Reference Fourth Edition","type":"article-journal"},"uris":["http://www.mendeley.com/documents/?uuid=a6117228-32a5-3653-bbfd-df94a54119f3"]}],"mendeley":{"formattedCitation":"(George &amp; Mallery, 2010)","plainTextFormattedCitation":"(George &amp; Mallery, 2010)","previouslyFormattedCitation":"(George &amp; Mallery, 2010)"},"properties":{"noteIndex":0},"schema":"https://github.com/citation-style-language/schema/raw/master/csl-citation.json"}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(George &amp; Mallery, 2010)</w:t>
      </w:r>
      <w:r w:rsidRPr="00711CE3">
        <w:rPr>
          <w:rFonts w:ascii="Times New Roman" w:eastAsia="Times New Roman" w:hAnsi="Times New Roman"/>
          <w:sz w:val="24"/>
          <w:szCs w:val="24"/>
        </w:rPr>
        <w:fldChar w:fldCharType="end"/>
      </w:r>
      <w:r w:rsidRPr="00711CE3">
        <w:rPr>
          <w:rFonts w:ascii="Times New Roman" w:eastAsia="Times New Roman" w:hAnsi="Times New Roman"/>
          <w:sz w:val="24"/>
          <w:szCs w:val="24"/>
        </w:rPr>
        <w:t xml:space="preserve">. </w:t>
      </w:r>
      <w:r w:rsidRPr="007F3686">
        <w:rPr>
          <w:rFonts w:ascii="Times New Roman" w:eastAsia="Times New Roman" w:hAnsi="Times New Roman"/>
          <w:sz w:val="24"/>
          <w:szCs w:val="24"/>
        </w:rPr>
        <w:t>Homoscedasticity and linearity tests can be performed using a scatter plot of residuals versus predicted values</w:t>
      </w:r>
      <w:r w:rsidRPr="00711CE3">
        <w:rPr>
          <w:rFonts w:ascii="Times New Roman" w:eastAsia="Times New Roman" w:hAnsi="Times New Roman"/>
          <w:sz w:val="24"/>
          <w:szCs w:val="24"/>
        </w:rPr>
        <w:t xml:space="preserve">. </w:t>
      </w:r>
      <w:r w:rsidRPr="007F3686">
        <w:rPr>
          <w:rFonts w:ascii="Times New Roman" w:eastAsia="Times New Roman" w:hAnsi="Times New Roman"/>
          <w:sz w:val="24"/>
          <w:szCs w:val="24"/>
        </w:rPr>
        <w:t xml:space="preserve">Next, the </w:t>
      </w:r>
      <w:r>
        <w:rPr>
          <w:rFonts w:ascii="Times New Roman" w:eastAsia="Times New Roman" w:hAnsi="Times New Roman"/>
          <w:sz w:val="24"/>
          <w:szCs w:val="24"/>
        </w:rPr>
        <w:t>m</w:t>
      </w:r>
      <w:r w:rsidRPr="00711CE3">
        <w:rPr>
          <w:rFonts w:ascii="Times New Roman" w:eastAsia="Times New Roman" w:hAnsi="Times New Roman"/>
          <w:sz w:val="24"/>
          <w:szCs w:val="24"/>
        </w:rPr>
        <w:t>ulticollinearity was assessed through Variance Inflation Factor (VIF) values of &lt;5 and tolerance values of &gt;0.20</w:t>
      </w:r>
      <w:r>
        <w:rPr>
          <w:rFonts w:ascii="Times New Roman" w:eastAsia="Times New Roman" w:hAnsi="Times New Roman"/>
          <w:sz w:val="24"/>
          <w:szCs w:val="24"/>
        </w:rPr>
        <w:t xml:space="preserve"> </w:t>
      </w:r>
      <w:r w:rsidRPr="00711CE3">
        <w:rPr>
          <w:rFonts w:ascii="Times New Roman" w:eastAsia="Times New Roman" w:hAnsi="Times New Roman"/>
          <w:sz w:val="24"/>
          <w:szCs w:val="24"/>
        </w:rPr>
        <w:fldChar w:fldCharType="begin" w:fldLock="1"/>
      </w:r>
      <w:r w:rsidRPr="00711CE3">
        <w:rPr>
          <w:rFonts w:ascii="Times New Roman" w:eastAsia="Times New Roman" w:hAnsi="Times New Roman"/>
          <w:sz w:val="24"/>
          <w:szCs w:val="24"/>
        </w:rPr>
        <w:instrText>ADDIN CSL_CITATION {"citationItems":[{"id":"ITEM-1","itemData":{"DOI":"10.1016/j.lrp.2013.01.002","ISSN":"00246301","abstract":"A Primer on Partial Least Squares Structural Equation Modeling (PLS-SEM), by Hair, Hult, Ringle, and Sarstedt, provides a concise yet very practical guide to understanding and using PLS structural equation modeling (PLS-SEM). PLS-SEM is evolving as a statistical modeling technique and its use has increased exponentially in recent years within a variety of disciplines, due to the recognition that PLS-SEM’s distinctive methodological features make it a viable alternative to the more popular covariance-based SEM approach. This text—the only comprehensive book available to explain the fundamental aspects of the method—includes extensive examples on SmartPLS software, and is accompanied by multiple data sets that are available for download from the accompanying website (www.pls-sem.com).","author":[{"dropping-particle":"","family":"Hair","given":"Joseph Franklin","non-dropping-particle":"","parse-names":false,"suffix":""},{"dropping-particle":"","family":"Hult","given":"G. Tomas M","non-dropping-particle":"","parse-names":false,"suffix":""},{"dropping-particle":"","family":"Ringle","given":"Christian M","non-dropping-particle":"","parse-names":false,"suffix":""},{"dropping-particle":"","family":"Sarstedt","given":"Marko","non-dropping-particle":"","parse-names":false,"suffix":""}],"container-title":"Sage Publication","id":"ITEM-1","issue":"1-2","issued":{"date-parts":[["2022"]]},"publisher":"Sage Publication","title":"A Primer on Partial Least Squares Structural Equation Modeling","type":"book"},"uris":["http://www.mendeley.com/documents/?uuid=1ce0cd11-c1e7-44dc-95ff-da4eee481219"]}],"mendeley":{"formattedCitation":"(Hair et al., 2022)","plainTextFormattedCitation":"(Hair et al., 2022)","previouslyFormattedCitation":"(Hair et al., 2022)"},"properties":{"noteIndex":0},"schema":"https://github.com/citation-style-language/schema/raw/master/csl-citation.json"}</w:instrText>
      </w:r>
      <w:r w:rsidRPr="00711CE3">
        <w:rPr>
          <w:rFonts w:ascii="Times New Roman" w:eastAsia="Times New Roman" w:hAnsi="Times New Roman"/>
          <w:sz w:val="24"/>
          <w:szCs w:val="24"/>
        </w:rPr>
        <w:fldChar w:fldCharType="separate"/>
      </w:r>
      <w:r w:rsidRPr="00711CE3">
        <w:rPr>
          <w:rFonts w:ascii="Times New Roman" w:eastAsia="Times New Roman" w:hAnsi="Times New Roman"/>
          <w:noProof/>
          <w:sz w:val="24"/>
          <w:szCs w:val="24"/>
        </w:rPr>
        <w:t>(Hair et al., 2022)</w:t>
      </w:r>
      <w:r w:rsidRPr="00711CE3">
        <w:rPr>
          <w:rFonts w:ascii="Times New Roman" w:eastAsia="Times New Roman" w:hAnsi="Times New Roman"/>
          <w:sz w:val="24"/>
          <w:szCs w:val="24"/>
        </w:rPr>
        <w:fldChar w:fldCharType="end"/>
      </w:r>
      <w:r w:rsidRPr="00711CE3">
        <w:rPr>
          <w:rFonts w:ascii="Times New Roman" w:eastAsia="Times New Roman" w:hAnsi="Times New Roman"/>
          <w:sz w:val="24"/>
          <w:szCs w:val="24"/>
        </w:rPr>
        <w:t>. Hypothesis testing applied a significance threshold of p &lt; 0.05, with criteria for acceptance being a calculated t-value greater than the critical t-table value and an F-statistic exceeding the corresponding F-table value.</w:t>
      </w:r>
    </w:p>
    <w:p w14:paraId="368FE6BD" w14:textId="77777777" w:rsidR="00801914" w:rsidRDefault="00801914" w:rsidP="00801914">
      <w:pPr>
        <w:spacing w:line="360" w:lineRule="auto"/>
        <w:ind w:firstLine="567"/>
        <w:jc w:val="both"/>
        <w:rPr>
          <w:rFonts w:ascii="Times New Roman" w:eastAsia="Times New Roman" w:hAnsi="Times New Roman"/>
          <w:sz w:val="24"/>
          <w:szCs w:val="24"/>
        </w:rPr>
      </w:pPr>
      <w:r w:rsidRPr="00711CE3">
        <w:rPr>
          <w:rFonts w:ascii="Times New Roman" w:eastAsia="Times New Roman" w:hAnsi="Times New Roman"/>
          <w:sz w:val="24"/>
          <w:szCs w:val="24"/>
        </w:rPr>
        <w:t xml:space="preserve">The sample was </w:t>
      </w:r>
      <w:r w:rsidRPr="007F3686">
        <w:rPr>
          <w:rFonts w:ascii="Times New Roman" w:eastAsia="Times New Roman" w:hAnsi="Times New Roman"/>
          <w:sz w:val="24"/>
          <w:szCs w:val="24"/>
        </w:rPr>
        <w:t xml:space="preserve">dominated </w:t>
      </w:r>
      <w:r>
        <w:rPr>
          <w:rFonts w:ascii="Times New Roman" w:eastAsia="Times New Roman" w:hAnsi="Times New Roman"/>
          <w:sz w:val="24"/>
          <w:szCs w:val="24"/>
        </w:rPr>
        <w:t xml:space="preserve">by </w:t>
      </w:r>
      <w:r w:rsidRPr="00711CE3">
        <w:rPr>
          <w:rFonts w:ascii="Times New Roman" w:eastAsia="Times New Roman" w:hAnsi="Times New Roman"/>
          <w:sz w:val="24"/>
          <w:szCs w:val="24"/>
        </w:rPr>
        <w:t>male</w:t>
      </w:r>
      <w:r>
        <w:rPr>
          <w:rFonts w:ascii="Times New Roman" w:eastAsia="Times New Roman" w:hAnsi="Times New Roman"/>
          <w:sz w:val="24"/>
          <w:szCs w:val="24"/>
        </w:rPr>
        <w:t>s at 53.6%</w:t>
      </w:r>
      <w:r w:rsidRPr="00711CE3">
        <w:rPr>
          <w:rFonts w:ascii="Times New Roman" w:eastAsia="Times New Roman" w:hAnsi="Times New Roman"/>
          <w:sz w:val="24"/>
          <w:szCs w:val="24"/>
        </w:rPr>
        <w:t xml:space="preserve">, followed by female respondents totaling 186 </w:t>
      </w:r>
      <w:r w:rsidRPr="007F3686">
        <w:rPr>
          <w:rFonts w:ascii="Times New Roman" w:eastAsia="Times New Roman" w:hAnsi="Times New Roman"/>
          <w:sz w:val="24"/>
          <w:szCs w:val="24"/>
        </w:rPr>
        <w:t xml:space="preserve">participants </w:t>
      </w:r>
      <w:r w:rsidRPr="00711CE3">
        <w:rPr>
          <w:rFonts w:ascii="Times New Roman" w:eastAsia="Times New Roman" w:hAnsi="Times New Roman"/>
          <w:sz w:val="24"/>
          <w:szCs w:val="24"/>
        </w:rPr>
        <w:t xml:space="preserve">(46.4%). </w:t>
      </w:r>
      <w:r>
        <w:rPr>
          <w:rFonts w:ascii="Times New Roman" w:eastAsia="Times New Roman" w:hAnsi="Times New Roman"/>
          <w:sz w:val="24"/>
          <w:szCs w:val="24"/>
        </w:rPr>
        <w:t xml:space="preserve">The Millennial generation </w:t>
      </w:r>
      <w:r w:rsidRPr="00711CE3">
        <w:rPr>
          <w:rFonts w:ascii="Times New Roman" w:eastAsia="Times New Roman" w:hAnsi="Times New Roman"/>
          <w:sz w:val="24"/>
          <w:szCs w:val="24"/>
        </w:rPr>
        <w:t>(28–44 years</w:t>
      </w:r>
      <w:r>
        <w:rPr>
          <w:rFonts w:ascii="Times New Roman" w:eastAsia="Times New Roman" w:hAnsi="Times New Roman"/>
          <w:sz w:val="24"/>
          <w:szCs w:val="24"/>
        </w:rPr>
        <w:t xml:space="preserve"> old</w:t>
      </w:r>
      <w:r w:rsidRPr="00711CE3">
        <w:rPr>
          <w:rFonts w:ascii="Times New Roman" w:eastAsia="Times New Roman" w:hAnsi="Times New Roman"/>
          <w:sz w:val="24"/>
          <w:szCs w:val="24"/>
        </w:rPr>
        <w:t>) com</w:t>
      </w:r>
      <w:r>
        <w:rPr>
          <w:rFonts w:ascii="Times New Roman" w:eastAsia="Times New Roman" w:hAnsi="Times New Roman"/>
          <w:sz w:val="24"/>
          <w:szCs w:val="24"/>
        </w:rPr>
        <w:t>prised 187 participants (46.7%)</w:t>
      </w:r>
      <w:r w:rsidRPr="00711CE3">
        <w:rPr>
          <w:rFonts w:ascii="Times New Roman" w:eastAsia="Times New Roman" w:hAnsi="Times New Roman"/>
          <w:sz w:val="24"/>
          <w:szCs w:val="24"/>
        </w:rPr>
        <w:t xml:space="preserve">. In terms of educational attainment, the majority held </w:t>
      </w:r>
      <w:r>
        <w:rPr>
          <w:rFonts w:ascii="Times New Roman" w:eastAsia="Times New Roman" w:hAnsi="Times New Roman"/>
          <w:sz w:val="24"/>
          <w:szCs w:val="24"/>
        </w:rPr>
        <w:t xml:space="preserve">by </w:t>
      </w:r>
      <w:r w:rsidRPr="00711CE3">
        <w:rPr>
          <w:rFonts w:ascii="Times New Roman" w:eastAsia="Times New Roman" w:hAnsi="Times New Roman"/>
          <w:sz w:val="24"/>
          <w:szCs w:val="24"/>
        </w:rPr>
        <w:t xml:space="preserve">D4/S1 at 61.1% (245 participants). The most common occupational position among respondents was </w:t>
      </w:r>
      <w:r w:rsidRPr="007F3686">
        <w:rPr>
          <w:rFonts w:ascii="Times New Roman" w:eastAsia="Times New Roman" w:hAnsi="Times New Roman"/>
          <w:sz w:val="24"/>
          <w:szCs w:val="24"/>
        </w:rPr>
        <w:t>heads of administrative sections</w:t>
      </w:r>
      <w:r w:rsidRPr="00711CE3">
        <w:rPr>
          <w:rFonts w:ascii="Times New Roman" w:eastAsia="Times New Roman" w:hAnsi="Times New Roman"/>
          <w:sz w:val="24"/>
          <w:szCs w:val="24"/>
        </w:rPr>
        <w:t>, representing 28.9% (116 participants). Regarding marital status, the major</w:t>
      </w:r>
      <w:r>
        <w:rPr>
          <w:rFonts w:ascii="Times New Roman" w:eastAsia="Times New Roman" w:hAnsi="Times New Roman"/>
          <w:sz w:val="24"/>
          <w:szCs w:val="24"/>
        </w:rPr>
        <w:t>ity of respondents were married</w:t>
      </w:r>
      <w:r w:rsidRPr="00711CE3">
        <w:rPr>
          <w:rFonts w:ascii="Times New Roman" w:eastAsia="Times New Roman" w:hAnsi="Times New Roman"/>
          <w:sz w:val="24"/>
          <w:szCs w:val="24"/>
        </w:rPr>
        <w:t xml:space="preserve"> for 69.8% (280 participants). </w:t>
      </w:r>
    </w:p>
    <w:p w14:paraId="4993AC6A" w14:textId="77777777" w:rsidR="00801914" w:rsidRPr="00CC2177" w:rsidRDefault="00801914" w:rsidP="00801914">
      <w:pPr>
        <w:jc w:val="center"/>
        <w:rPr>
          <w:rFonts w:ascii="Times New Roman" w:hAnsi="Times New Roman"/>
          <w:b/>
          <w:i/>
          <w:sz w:val="24"/>
          <w:szCs w:val="24"/>
          <w:lang w:val="id-ID"/>
        </w:rPr>
      </w:pPr>
      <w:r w:rsidRPr="00CC2177">
        <w:rPr>
          <w:rFonts w:ascii="Times New Roman" w:hAnsi="Times New Roman"/>
          <w:b/>
          <w:sz w:val="24"/>
          <w:szCs w:val="24"/>
        </w:rPr>
        <w:t>Table 1. Demographic Data</w:t>
      </w:r>
    </w:p>
    <w:tbl>
      <w:tblPr>
        <w:tblW w:w="7355" w:type="dxa"/>
        <w:jc w:val="center"/>
        <w:tblLook w:val="04A0" w:firstRow="1" w:lastRow="0" w:firstColumn="1" w:lastColumn="0" w:noHBand="0" w:noVBand="1"/>
      </w:tblPr>
      <w:tblGrid>
        <w:gridCol w:w="4333"/>
        <w:gridCol w:w="52"/>
        <w:gridCol w:w="1108"/>
        <w:gridCol w:w="52"/>
        <w:gridCol w:w="1646"/>
        <w:gridCol w:w="151"/>
        <w:gridCol w:w="13"/>
      </w:tblGrid>
      <w:tr w:rsidR="00801914" w:rsidRPr="00B342DA" w14:paraId="554CB7EE" w14:textId="77777777" w:rsidTr="00801914">
        <w:trPr>
          <w:trHeight w:val="318"/>
          <w:jc w:val="center"/>
        </w:trPr>
        <w:tc>
          <w:tcPr>
            <w:tcW w:w="7355" w:type="dxa"/>
            <w:gridSpan w:val="7"/>
            <w:tcBorders>
              <w:top w:val="single" w:sz="8" w:space="0" w:color="auto"/>
              <w:bottom w:val="single" w:sz="8" w:space="0" w:color="auto"/>
            </w:tcBorders>
            <w:noWrap/>
          </w:tcPr>
          <w:p w14:paraId="414A2A7C" w14:textId="77777777" w:rsidR="00801914" w:rsidRPr="00CC2177" w:rsidRDefault="00801914" w:rsidP="00FE5EED">
            <w:pPr>
              <w:rPr>
                <w:rFonts w:ascii="Times New Roman" w:eastAsia="Times New Roman" w:hAnsi="Times New Roman"/>
                <w:b/>
                <w:bCs/>
                <w:color w:val="000000"/>
                <w:sz w:val="24"/>
                <w:szCs w:val="24"/>
              </w:rPr>
            </w:pPr>
            <w:r w:rsidRPr="00CC2177">
              <w:rPr>
                <w:rFonts w:ascii="Times New Roman" w:eastAsia="Times New Roman" w:hAnsi="Times New Roman"/>
                <w:b/>
                <w:bCs/>
                <w:color w:val="000000"/>
                <w:sz w:val="24"/>
                <w:szCs w:val="24"/>
              </w:rPr>
              <w:t>Gender</w:t>
            </w:r>
            <w:r>
              <w:rPr>
                <w:rFonts w:ascii="Times New Roman" w:eastAsia="Times New Roman" w:hAnsi="Times New Roman"/>
                <w:b/>
                <w:bCs/>
                <w:color w:val="000000"/>
                <w:sz w:val="24"/>
                <w:szCs w:val="24"/>
              </w:rPr>
              <w:t xml:space="preserve"> (Sex)</w:t>
            </w:r>
          </w:p>
        </w:tc>
      </w:tr>
      <w:tr w:rsidR="00801914" w:rsidRPr="00B342DA" w14:paraId="640E0194" w14:textId="77777777" w:rsidTr="00801914">
        <w:trPr>
          <w:gridAfter w:val="2"/>
          <w:wAfter w:w="164" w:type="dxa"/>
          <w:trHeight w:val="318"/>
          <w:jc w:val="center"/>
        </w:trPr>
        <w:tc>
          <w:tcPr>
            <w:tcW w:w="4333" w:type="dxa"/>
            <w:tcBorders>
              <w:top w:val="single" w:sz="8" w:space="0" w:color="auto"/>
            </w:tcBorders>
            <w:noWrap/>
          </w:tcPr>
          <w:p w14:paraId="7B38F9FA" w14:textId="77777777" w:rsidR="00801914" w:rsidRPr="00CC2177" w:rsidRDefault="00801914" w:rsidP="00FE5EED">
            <w:pPr>
              <w:jc w:val="right"/>
              <w:rPr>
                <w:rFonts w:ascii="Times New Roman" w:eastAsia="Times New Roman" w:hAnsi="Times New Roman"/>
                <w:bCs/>
                <w:color w:val="000000"/>
                <w:sz w:val="24"/>
                <w:szCs w:val="24"/>
              </w:rPr>
            </w:pPr>
            <w:r w:rsidRPr="00CC2177">
              <w:rPr>
                <w:rFonts w:ascii="Times New Roman" w:eastAsia="Times New Roman" w:hAnsi="Times New Roman"/>
                <w:bCs/>
                <w:color w:val="000000"/>
                <w:sz w:val="24"/>
                <w:szCs w:val="24"/>
              </w:rPr>
              <w:t>Male</w:t>
            </w:r>
          </w:p>
        </w:tc>
        <w:tc>
          <w:tcPr>
            <w:tcW w:w="1160" w:type="dxa"/>
            <w:gridSpan w:val="2"/>
            <w:tcBorders>
              <w:top w:val="single" w:sz="8" w:space="0" w:color="auto"/>
            </w:tcBorders>
            <w:noWrap/>
          </w:tcPr>
          <w:p w14:paraId="53DAE7D3"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215</w:t>
            </w:r>
          </w:p>
        </w:tc>
        <w:tc>
          <w:tcPr>
            <w:tcW w:w="1698" w:type="dxa"/>
            <w:gridSpan w:val="2"/>
            <w:tcBorders>
              <w:top w:val="single" w:sz="8" w:space="0" w:color="auto"/>
            </w:tcBorders>
            <w:noWrap/>
          </w:tcPr>
          <w:p w14:paraId="0FFC7B2C"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53,6%</w:t>
            </w:r>
          </w:p>
        </w:tc>
      </w:tr>
      <w:tr w:rsidR="00801914" w:rsidRPr="00B342DA" w14:paraId="7EF32F16" w14:textId="77777777" w:rsidTr="00801914">
        <w:trPr>
          <w:gridAfter w:val="2"/>
          <w:wAfter w:w="164" w:type="dxa"/>
          <w:trHeight w:val="318"/>
          <w:jc w:val="center"/>
        </w:trPr>
        <w:tc>
          <w:tcPr>
            <w:tcW w:w="4333" w:type="dxa"/>
            <w:tcBorders>
              <w:bottom w:val="single" w:sz="8" w:space="0" w:color="auto"/>
            </w:tcBorders>
            <w:noWrap/>
          </w:tcPr>
          <w:p w14:paraId="085F6642" w14:textId="77777777" w:rsidR="00801914" w:rsidRPr="00CC2177" w:rsidRDefault="00801914" w:rsidP="00FE5EED">
            <w:pPr>
              <w:jc w:val="right"/>
              <w:rPr>
                <w:rFonts w:ascii="Times New Roman" w:eastAsia="Times New Roman" w:hAnsi="Times New Roman"/>
                <w:bCs/>
                <w:color w:val="000000"/>
                <w:sz w:val="24"/>
                <w:szCs w:val="24"/>
              </w:rPr>
            </w:pPr>
            <w:r w:rsidRPr="00CC2177">
              <w:rPr>
                <w:rFonts w:ascii="Times New Roman" w:eastAsia="Times New Roman" w:hAnsi="Times New Roman"/>
                <w:bCs/>
                <w:color w:val="000000"/>
                <w:sz w:val="24"/>
                <w:szCs w:val="24"/>
              </w:rPr>
              <w:t>Female</w:t>
            </w:r>
          </w:p>
        </w:tc>
        <w:tc>
          <w:tcPr>
            <w:tcW w:w="1160" w:type="dxa"/>
            <w:gridSpan w:val="2"/>
            <w:tcBorders>
              <w:bottom w:val="single" w:sz="8" w:space="0" w:color="auto"/>
            </w:tcBorders>
            <w:noWrap/>
          </w:tcPr>
          <w:p w14:paraId="4EE29D22"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186</w:t>
            </w:r>
          </w:p>
        </w:tc>
        <w:tc>
          <w:tcPr>
            <w:tcW w:w="1698" w:type="dxa"/>
            <w:gridSpan w:val="2"/>
            <w:tcBorders>
              <w:bottom w:val="single" w:sz="8" w:space="0" w:color="auto"/>
            </w:tcBorders>
            <w:noWrap/>
          </w:tcPr>
          <w:p w14:paraId="66B3132A"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46,4%</w:t>
            </w:r>
          </w:p>
        </w:tc>
      </w:tr>
      <w:tr w:rsidR="00801914" w:rsidRPr="00B342DA" w14:paraId="7BEE8951" w14:textId="77777777" w:rsidTr="00801914">
        <w:trPr>
          <w:gridAfter w:val="2"/>
          <w:wAfter w:w="164" w:type="dxa"/>
          <w:trHeight w:val="318"/>
          <w:jc w:val="center"/>
        </w:trPr>
        <w:tc>
          <w:tcPr>
            <w:tcW w:w="4333" w:type="dxa"/>
            <w:tcBorders>
              <w:top w:val="single" w:sz="8" w:space="0" w:color="auto"/>
              <w:bottom w:val="single" w:sz="8" w:space="0" w:color="auto"/>
            </w:tcBorders>
            <w:noWrap/>
            <w:hideMark/>
          </w:tcPr>
          <w:p w14:paraId="5262505C" w14:textId="77777777" w:rsidR="00801914" w:rsidRPr="00CC2177" w:rsidRDefault="00801914" w:rsidP="00FE5EED">
            <w:pPr>
              <w:rPr>
                <w:rFonts w:ascii="Times New Roman" w:eastAsia="Times New Roman" w:hAnsi="Times New Roman"/>
                <w:b/>
                <w:bCs/>
                <w:color w:val="000000"/>
                <w:sz w:val="24"/>
                <w:szCs w:val="24"/>
              </w:rPr>
            </w:pPr>
            <w:r w:rsidRPr="00CC2177">
              <w:rPr>
                <w:rFonts w:ascii="Times New Roman" w:eastAsia="Times New Roman" w:hAnsi="Times New Roman"/>
                <w:b/>
                <w:bCs/>
                <w:color w:val="000000"/>
                <w:sz w:val="24"/>
                <w:szCs w:val="24"/>
              </w:rPr>
              <w:t>Age</w:t>
            </w:r>
          </w:p>
        </w:tc>
        <w:tc>
          <w:tcPr>
            <w:tcW w:w="1160" w:type="dxa"/>
            <w:gridSpan w:val="2"/>
            <w:tcBorders>
              <w:top w:val="single" w:sz="8" w:space="0" w:color="auto"/>
              <w:bottom w:val="single" w:sz="8" w:space="0" w:color="auto"/>
            </w:tcBorders>
            <w:noWrap/>
            <w:hideMark/>
          </w:tcPr>
          <w:p w14:paraId="20B1AC85" w14:textId="77777777" w:rsidR="00801914" w:rsidRPr="00CC2177" w:rsidRDefault="00801914" w:rsidP="00FE5EED">
            <w:pPr>
              <w:jc w:val="center"/>
              <w:rPr>
                <w:rFonts w:ascii="Times New Roman" w:eastAsia="Times New Roman" w:hAnsi="Times New Roman"/>
                <w:b/>
                <w:color w:val="000000"/>
                <w:sz w:val="24"/>
                <w:szCs w:val="24"/>
              </w:rPr>
            </w:pPr>
          </w:p>
        </w:tc>
        <w:tc>
          <w:tcPr>
            <w:tcW w:w="1698" w:type="dxa"/>
            <w:gridSpan w:val="2"/>
            <w:tcBorders>
              <w:top w:val="single" w:sz="8" w:space="0" w:color="auto"/>
              <w:bottom w:val="single" w:sz="8" w:space="0" w:color="auto"/>
            </w:tcBorders>
            <w:noWrap/>
            <w:hideMark/>
          </w:tcPr>
          <w:p w14:paraId="5B342EA6" w14:textId="77777777" w:rsidR="00801914" w:rsidRPr="00CC2177" w:rsidRDefault="00801914" w:rsidP="00FE5EED">
            <w:pPr>
              <w:jc w:val="center"/>
              <w:rPr>
                <w:rFonts w:ascii="Times New Roman" w:eastAsia="Times New Roman" w:hAnsi="Times New Roman"/>
                <w:b/>
                <w:color w:val="000000"/>
                <w:sz w:val="24"/>
                <w:szCs w:val="24"/>
              </w:rPr>
            </w:pPr>
          </w:p>
        </w:tc>
      </w:tr>
      <w:tr w:rsidR="00801914" w:rsidRPr="00B342DA" w14:paraId="5BE43FAB" w14:textId="77777777" w:rsidTr="00801914">
        <w:trPr>
          <w:gridAfter w:val="2"/>
          <w:wAfter w:w="164" w:type="dxa"/>
          <w:trHeight w:val="318"/>
          <w:jc w:val="center"/>
        </w:trPr>
        <w:tc>
          <w:tcPr>
            <w:tcW w:w="4333" w:type="dxa"/>
            <w:tcBorders>
              <w:top w:val="single" w:sz="8" w:space="0" w:color="auto"/>
            </w:tcBorders>
            <w:noWrap/>
            <w:hideMark/>
          </w:tcPr>
          <w:p w14:paraId="0916E1AA"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 xml:space="preserve">&lt; 28 </w:t>
            </w:r>
            <w:r>
              <w:rPr>
                <w:rFonts w:ascii="Times New Roman" w:hAnsi="Times New Roman"/>
                <w:bCs/>
                <w:sz w:val="24"/>
                <w:szCs w:val="24"/>
              </w:rPr>
              <w:t>years</w:t>
            </w:r>
          </w:p>
        </w:tc>
        <w:tc>
          <w:tcPr>
            <w:tcW w:w="1160" w:type="dxa"/>
            <w:gridSpan w:val="2"/>
            <w:tcBorders>
              <w:top w:val="single" w:sz="8" w:space="0" w:color="auto"/>
            </w:tcBorders>
            <w:noWrap/>
            <w:hideMark/>
          </w:tcPr>
          <w:p w14:paraId="4DDBE656"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35</w:t>
            </w:r>
          </w:p>
        </w:tc>
        <w:tc>
          <w:tcPr>
            <w:tcW w:w="1698" w:type="dxa"/>
            <w:gridSpan w:val="2"/>
            <w:tcBorders>
              <w:top w:val="single" w:sz="8" w:space="0" w:color="auto"/>
            </w:tcBorders>
            <w:noWrap/>
            <w:hideMark/>
          </w:tcPr>
          <w:p w14:paraId="08205833"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8,7%</w:t>
            </w:r>
          </w:p>
        </w:tc>
      </w:tr>
      <w:tr w:rsidR="00801914" w:rsidRPr="00B342DA" w14:paraId="7592A012" w14:textId="77777777" w:rsidTr="00801914">
        <w:trPr>
          <w:gridAfter w:val="2"/>
          <w:wAfter w:w="164" w:type="dxa"/>
          <w:trHeight w:val="318"/>
          <w:jc w:val="center"/>
        </w:trPr>
        <w:tc>
          <w:tcPr>
            <w:tcW w:w="4333" w:type="dxa"/>
            <w:noWrap/>
            <w:hideMark/>
          </w:tcPr>
          <w:p w14:paraId="5E6B643A" w14:textId="77777777" w:rsidR="00801914" w:rsidRPr="00B342DA" w:rsidRDefault="00801914" w:rsidP="00FE5EED">
            <w:pPr>
              <w:jc w:val="right"/>
              <w:rPr>
                <w:rFonts w:ascii="Times New Roman" w:hAnsi="Times New Roman"/>
                <w:bCs/>
                <w:sz w:val="24"/>
                <w:szCs w:val="24"/>
              </w:rPr>
            </w:pPr>
            <w:r>
              <w:rPr>
                <w:rFonts w:ascii="Times New Roman" w:hAnsi="Times New Roman"/>
                <w:bCs/>
                <w:sz w:val="24"/>
                <w:szCs w:val="24"/>
              </w:rPr>
              <w:t>28 – 44 years</w:t>
            </w:r>
          </w:p>
        </w:tc>
        <w:tc>
          <w:tcPr>
            <w:tcW w:w="1160" w:type="dxa"/>
            <w:gridSpan w:val="2"/>
            <w:noWrap/>
            <w:hideMark/>
          </w:tcPr>
          <w:p w14:paraId="58F0EE7E"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187</w:t>
            </w:r>
          </w:p>
        </w:tc>
        <w:tc>
          <w:tcPr>
            <w:tcW w:w="1698" w:type="dxa"/>
            <w:gridSpan w:val="2"/>
            <w:noWrap/>
            <w:hideMark/>
          </w:tcPr>
          <w:p w14:paraId="2DFA476B"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46,7%</w:t>
            </w:r>
          </w:p>
        </w:tc>
      </w:tr>
      <w:tr w:rsidR="00801914" w:rsidRPr="00B342DA" w14:paraId="0C5F3D21" w14:textId="77777777" w:rsidTr="00801914">
        <w:trPr>
          <w:gridAfter w:val="2"/>
          <w:wAfter w:w="164" w:type="dxa"/>
          <w:trHeight w:val="318"/>
          <w:jc w:val="center"/>
        </w:trPr>
        <w:tc>
          <w:tcPr>
            <w:tcW w:w="4333" w:type="dxa"/>
            <w:tcBorders>
              <w:bottom w:val="single" w:sz="8" w:space="0" w:color="auto"/>
            </w:tcBorders>
            <w:noWrap/>
            <w:hideMark/>
          </w:tcPr>
          <w:p w14:paraId="1513C854" w14:textId="77777777" w:rsidR="00801914" w:rsidRPr="00B342DA" w:rsidRDefault="00801914" w:rsidP="00FE5EED">
            <w:pPr>
              <w:jc w:val="right"/>
              <w:rPr>
                <w:rFonts w:ascii="Times New Roman" w:hAnsi="Times New Roman"/>
                <w:bCs/>
                <w:sz w:val="24"/>
                <w:szCs w:val="24"/>
              </w:rPr>
            </w:pPr>
            <w:r>
              <w:rPr>
                <w:rFonts w:ascii="Times New Roman" w:hAnsi="Times New Roman"/>
                <w:bCs/>
                <w:sz w:val="24"/>
                <w:szCs w:val="24"/>
              </w:rPr>
              <w:t>44 – 60 years</w:t>
            </w:r>
          </w:p>
        </w:tc>
        <w:tc>
          <w:tcPr>
            <w:tcW w:w="1160" w:type="dxa"/>
            <w:gridSpan w:val="2"/>
            <w:tcBorders>
              <w:bottom w:val="single" w:sz="8" w:space="0" w:color="auto"/>
            </w:tcBorders>
            <w:noWrap/>
            <w:hideMark/>
          </w:tcPr>
          <w:p w14:paraId="32F906AC"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179</w:t>
            </w:r>
          </w:p>
        </w:tc>
        <w:tc>
          <w:tcPr>
            <w:tcW w:w="1698" w:type="dxa"/>
            <w:gridSpan w:val="2"/>
            <w:tcBorders>
              <w:bottom w:val="single" w:sz="8" w:space="0" w:color="auto"/>
            </w:tcBorders>
            <w:noWrap/>
            <w:hideMark/>
          </w:tcPr>
          <w:p w14:paraId="1681CB41"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44,6%</w:t>
            </w:r>
          </w:p>
        </w:tc>
      </w:tr>
      <w:tr w:rsidR="00801914" w:rsidRPr="00B342DA" w14:paraId="1B1742E9" w14:textId="77777777" w:rsidTr="00801914">
        <w:trPr>
          <w:trHeight w:val="318"/>
          <w:jc w:val="center"/>
        </w:trPr>
        <w:tc>
          <w:tcPr>
            <w:tcW w:w="7355" w:type="dxa"/>
            <w:gridSpan w:val="7"/>
            <w:tcBorders>
              <w:top w:val="single" w:sz="8" w:space="0" w:color="auto"/>
              <w:bottom w:val="single" w:sz="8" w:space="0" w:color="auto"/>
            </w:tcBorders>
            <w:noWrap/>
          </w:tcPr>
          <w:p w14:paraId="3CB8DD86" w14:textId="77777777" w:rsidR="00801914" w:rsidRPr="00CC2177" w:rsidRDefault="00801914" w:rsidP="00FE5EED">
            <w:pPr>
              <w:rPr>
                <w:rFonts w:ascii="Times New Roman" w:eastAsia="Times New Roman" w:hAnsi="Times New Roman"/>
                <w:b/>
                <w:bCs/>
                <w:color w:val="000000"/>
                <w:sz w:val="24"/>
                <w:szCs w:val="24"/>
              </w:rPr>
            </w:pPr>
            <w:r w:rsidRPr="00CC2177">
              <w:rPr>
                <w:rFonts w:ascii="Times New Roman" w:eastAsia="Times New Roman" w:hAnsi="Times New Roman"/>
                <w:b/>
                <w:bCs/>
                <w:color w:val="000000"/>
                <w:sz w:val="24"/>
                <w:szCs w:val="24"/>
              </w:rPr>
              <w:t>Last Education</w:t>
            </w:r>
          </w:p>
        </w:tc>
      </w:tr>
      <w:tr w:rsidR="00801914" w:rsidRPr="00B342DA" w14:paraId="303F055E" w14:textId="77777777" w:rsidTr="00801914">
        <w:trPr>
          <w:gridAfter w:val="2"/>
          <w:wAfter w:w="164" w:type="dxa"/>
          <w:trHeight w:val="318"/>
          <w:jc w:val="center"/>
        </w:trPr>
        <w:tc>
          <w:tcPr>
            <w:tcW w:w="4333" w:type="dxa"/>
            <w:tcBorders>
              <w:top w:val="single" w:sz="8" w:space="0" w:color="auto"/>
            </w:tcBorders>
            <w:noWrap/>
          </w:tcPr>
          <w:p w14:paraId="666EA754"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SMA</w:t>
            </w:r>
          </w:p>
        </w:tc>
        <w:tc>
          <w:tcPr>
            <w:tcW w:w="1160" w:type="dxa"/>
            <w:gridSpan w:val="2"/>
            <w:tcBorders>
              <w:top w:val="single" w:sz="8" w:space="0" w:color="auto"/>
            </w:tcBorders>
            <w:noWrap/>
          </w:tcPr>
          <w:p w14:paraId="3E1634AE"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45</w:t>
            </w:r>
          </w:p>
        </w:tc>
        <w:tc>
          <w:tcPr>
            <w:tcW w:w="1698" w:type="dxa"/>
            <w:gridSpan w:val="2"/>
            <w:tcBorders>
              <w:top w:val="single" w:sz="8" w:space="0" w:color="auto"/>
            </w:tcBorders>
            <w:noWrap/>
          </w:tcPr>
          <w:p w14:paraId="74EFD804"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11,2%</w:t>
            </w:r>
          </w:p>
        </w:tc>
      </w:tr>
      <w:tr w:rsidR="00801914" w:rsidRPr="00B342DA" w14:paraId="71346848" w14:textId="77777777" w:rsidTr="00801914">
        <w:trPr>
          <w:gridAfter w:val="2"/>
          <w:wAfter w:w="164" w:type="dxa"/>
          <w:trHeight w:val="318"/>
          <w:jc w:val="center"/>
        </w:trPr>
        <w:tc>
          <w:tcPr>
            <w:tcW w:w="4333" w:type="dxa"/>
            <w:noWrap/>
          </w:tcPr>
          <w:p w14:paraId="7CBDC0FC"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D3</w:t>
            </w:r>
          </w:p>
        </w:tc>
        <w:tc>
          <w:tcPr>
            <w:tcW w:w="1160" w:type="dxa"/>
            <w:gridSpan w:val="2"/>
            <w:noWrap/>
          </w:tcPr>
          <w:p w14:paraId="16A17B96"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88</w:t>
            </w:r>
          </w:p>
        </w:tc>
        <w:tc>
          <w:tcPr>
            <w:tcW w:w="1698" w:type="dxa"/>
            <w:gridSpan w:val="2"/>
            <w:noWrap/>
          </w:tcPr>
          <w:p w14:paraId="4C0EDCAB"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22%</w:t>
            </w:r>
          </w:p>
        </w:tc>
      </w:tr>
      <w:tr w:rsidR="00801914" w:rsidRPr="00B342DA" w14:paraId="26A21BDE" w14:textId="77777777" w:rsidTr="00801914">
        <w:trPr>
          <w:gridAfter w:val="2"/>
          <w:wAfter w:w="164" w:type="dxa"/>
          <w:trHeight w:val="318"/>
          <w:jc w:val="center"/>
        </w:trPr>
        <w:tc>
          <w:tcPr>
            <w:tcW w:w="4333" w:type="dxa"/>
            <w:noWrap/>
          </w:tcPr>
          <w:p w14:paraId="02917C09"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D4/S1</w:t>
            </w:r>
          </w:p>
        </w:tc>
        <w:tc>
          <w:tcPr>
            <w:tcW w:w="1160" w:type="dxa"/>
            <w:gridSpan w:val="2"/>
            <w:noWrap/>
          </w:tcPr>
          <w:p w14:paraId="22500BB6"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245</w:t>
            </w:r>
          </w:p>
        </w:tc>
        <w:tc>
          <w:tcPr>
            <w:tcW w:w="1698" w:type="dxa"/>
            <w:gridSpan w:val="2"/>
            <w:noWrap/>
          </w:tcPr>
          <w:p w14:paraId="73DDFF90"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61,1%</w:t>
            </w:r>
          </w:p>
        </w:tc>
      </w:tr>
      <w:tr w:rsidR="00801914" w:rsidRPr="00B342DA" w14:paraId="7A5BEEC8" w14:textId="77777777" w:rsidTr="00801914">
        <w:trPr>
          <w:gridAfter w:val="2"/>
          <w:wAfter w:w="164" w:type="dxa"/>
          <w:trHeight w:val="318"/>
          <w:jc w:val="center"/>
        </w:trPr>
        <w:tc>
          <w:tcPr>
            <w:tcW w:w="4333" w:type="dxa"/>
            <w:tcBorders>
              <w:bottom w:val="single" w:sz="8" w:space="0" w:color="auto"/>
            </w:tcBorders>
            <w:noWrap/>
          </w:tcPr>
          <w:p w14:paraId="3413E47F"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S2</w:t>
            </w:r>
          </w:p>
        </w:tc>
        <w:tc>
          <w:tcPr>
            <w:tcW w:w="1160" w:type="dxa"/>
            <w:gridSpan w:val="2"/>
            <w:tcBorders>
              <w:bottom w:val="single" w:sz="8" w:space="0" w:color="auto"/>
            </w:tcBorders>
            <w:noWrap/>
          </w:tcPr>
          <w:p w14:paraId="7A31B599"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23</w:t>
            </w:r>
          </w:p>
        </w:tc>
        <w:tc>
          <w:tcPr>
            <w:tcW w:w="1698" w:type="dxa"/>
            <w:gridSpan w:val="2"/>
            <w:noWrap/>
          </w:tcPr>
          <w:p w14:paraId="6010AA23"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5,7%</w:t>
            </w:r>
          </w:p>
        </w:tc>
      </w:tr>
      <w:tr w:rsidR="00801914" w:rsidRPr="00B342DA" w14:paraId="5C83AAD8" w14:textId="77777777" w:rsidTr="00801914">
        <w:trPr>
          <w:trHeight w:val="318"/>
          <w:jc w:val="center"/>
        </w:trPr>
        <w:tc>
          <w:tcPr>
            <w:tcW w:w="7355" w:type="dxa"/>
            <w:gridSpan w:val="7"/>
            <w:tcBorders>
              <w:top w:val="single" w:sz="8" w:space="0" w:color="auto"/>
              <w:bottom w:val="single" w:sz="8" w:space="0" w:color="auto"/>
            </w:tcBorders>
            <w:noWrap/>
          </w:tcPr>
          <w:p w14:paraId="33E46857" w14:textId="77777777" w:rsidR="00801914" w:rsidRPr="00CC2177" w:rsidRDefault="00801914" w:rsidP="00FE5EED">
            <w:pPr>
              <w:rPr>
                <w:rFonts w:ascii="Times New Roman" w:eastAsia="Times New Roman" w:hAnsi="Times New Roman"/>
                <w:b/>
                <w:bCs/>
                <w:color w:val="000000"/>
                <w:sz w:val="24"/>
                <w:szCs w:val="24"/>
              </w:rPr>
            </w:pPr>
            <w:r w:rsidRPr="00B342DA">
              <w:rPr>
                <w:rFonts w:ascii="Times New Roman" w:hAnsi="Times New Roman"/>
                <w:b/>
                <w:bCs/>
                <w:sz w:val="24"/>
                <w:szCs w:val="24"/>
              </w:rPr>
              <w:t>Job</w:t>
            </w:r>
          </w:p>
        </w:tc>
      </w:tr>
      <w:tr w:rsidR="00801914" w:rsidRPr="00B342DA" w14:paraId="440769D1" w14:textId="77777777" w:rsidTr="00801914">
        <w:trPr>
          <w:gridAfter w:val="2"/>
          <w:wAfter w:w="164" w:type="dxa"/>
          <w:trHeight w:val="318"/>
          <w:jc w:val="center"/>
        </w:trPr>
        <w:tc>
          <w:tcPr>
            <w:tcW w:w="4333" w:type="dxa"/>
            <w:tcBorders>
              <w:top w:val="single" w:sz="8" w:space="0" w:color="auto"/>
            </w:tcBorders>
            <w:noWrap/>
          </w:tcPr>
          <w:p w14:paraId="423E071F" w14:textId="77777777" w:rsidR="00801914" w:rsidRPr="00B342DA" w:rsidRDefault="00801914" w:rsidP="00FE5EED">
            <w:pPr>
              <w:jc w:val="right"/>
              <w:rPr>
                <w:rFonts w:ascii="Times New Roman" w:hAnsi="Times New Roman"/>
                <w:sz w:val="24"/>
                <w:szCs w:val="24"/>
              </w:rPr>
            </w:pPr>
            <w:r w:rsidRPr="00B342DA">
              <w:rPr>
                <w:rFonts w:ascii="Times New Roman" w:hAnsi="Times New Roman"/>
                <w:sz w:val="24"/>
                <w:szCs w:val="24"/>
              </w:rPr>
              <w:t>Village Head</w:t>
            </w:r>
          </w:p>
        </w:tc>
        <w:tc>
          <w:tcPr>
            <w:tcW w:w="1160" w:type="dxa"/>
            <w:gridSpan w:val="2"/>
            <w:tcBorders>
              <w:top w:val="single" w:sz="8" w:space="0" w:color="auto"/>
            </w:tcBorders>
            <w:noWrap/>
          </w:tcPr>
          <w:p w14:paraId="60A40441"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49</w:t>
            </w:r>
          </w:p>
        </w:tc>
        <w:tc>
          <w:tcPr>
            <w:tcW w:w="1698" w:type="dxa"/>
            <w:gridSpan w:val="2"/>
            <w:tcBorders>
              <w:top w:val="single" w:sz="8" w:space="0" w:color="auto"/>
            </w:tcBorders>
            <w:noWrap/>
          </w:tcPr>
          <w:p w14:paraId="0F442335"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12,2%</w:t>
            </w:r>
          </w:p>
        </w:tc>
      </w:tr>
      <w:tr w:rsidR="00801914" w:rsidRPr="00B342DA" w14:paraId="5B3F789B" w14:textId="77777777" w:rsidTr="00801914">
        <w:trPr>
          <w:gridAfter w:val="2"/>
          <w:wAfter w:w="164" w:type="dxa"/>
          <w:trHeight w:val="318"/>
          <w:jc w:val="center"/>
        </w:trPr>
        <w:tc>
          <w:tcPr>
            <w:tcW w:w="4333" w:type="dxa"/>
            <w:noWrap/>
          </w:tcPr>
          <w:p w14:paraId="6B734E4A" w14:textId="77777777" w:rsidR="00801914" w:rsidRPr="00B342DA" w:rsidRDefault="00801914" w:rsidP="00FE5EED">
            <w:pPr>
              <w:jc w:val="right"/>
              <w:rPr>
                <w:rFonts w:ascii="Times New Roman" w:hAnsi="Times New Roman"/>
                <w:sz w:val="24"/>
                <w:szCs w:val="24"/>
              </w:rPr>
            </w:pPr>
            <w:r w:rsidRPr="00B342DA">
              <w:rPr>
                <w:rFonts w:ascii="Times New Roman" w:hAnsi="Times New Roman"/>
                <w:sz w:val="24"/>
                <w:szCs w:val="24"/>
              </w:rPr>
              <w:t>Village Secretary</w:t>
            </w:r>
          </w:p>
        </w:tc>
        <w:tc>
          <w:tcPr>
            <w:tcW w:w="1160" w:type="dxa"/>
            <w:gridSpan w:val="2"/>
            <w:noWrap/>
          </w:tcPr>
          <w:p w14:paraId="418F6525"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69</w:t>
            </w:r>
          </w:p>
        </w:tc>
        <w:tc>
          <w:tcPr>
            <w:tcW w:w="1698" w:type="dxa"/>
            <w:gridSpan w:val="2"/>
            <w:noWrap/>
          </w:tcPr>
          <w:p w14:paraId="35280473"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17,2%</w:t>
            </w:r>
          </w:p>
        </w:tc>
      </w:tr>
      <w:tr w:rsidR="00801914" w:rsidRPr="00B342DA" w14:paraId="21B341EE" w14:textId="77777777" w:rsidTr="00801914">
        <w:trPr>
          <w:gridAfter w:val="2"/>
          <w:wAfter w:w="164" w:type="dxa"/>
          <w:trHeight w:val="318"/>
          <w:jc w:val="center"/>
        </w:trPr>
        <w:tc>
          <w:tcPr>
            <w:tcW w:w="4333" w:type="dxa"/>
            <w:noWrap/>
          </w:tcPr>
          <w:p w14:paraId="2D02C16E" w14:textId="77777777" w:rsidR="00801914" w:rsidRPr="00B342DA" w:rsidRDefault="00801914" w:rsidP="00FE5EED">
            <w:pPr>
              <w:jc w:val="right"/>
              <w:rPr>
                <w:rFonts w:ascii="Times New Roman" w:hAnsi="Times New Roman"/>
                <w:sz w:val="24"/>
                <w:szCs w:val="24"/>
              </w:rPr>
            </w:pPr>
            <w:r w:rsidRPr="00B342DA">
              <w:rPr>
                <w:rFonts w:ascii="Times New Roman" w:hAnsi="Times New Roman"/>
                <w:sz w:val="24"/>
                <w:szCs w:val="24"/>
              </w:rPr>
              <w:lastRenderedPageBreak/>
              <w:t>BPD</w:t>
            </w:r>
          </w:p>
        </w:tc>
        <w:tc>
          <w:tcPr>
            <w:tcW w:w="1160" w:type="dxa"/>
            <w:gridSpan w:val="2"/>
            <w:noWrap/>
          </w:tcPr>
          <w:p w14:paraId="5DC35ABF"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86</w:t>
            </w:r>
          </w:p>
        </w:tc>
        <w:tc>
          <w:tcPr>
            <w:tcW w:w="1698" w:type="dxa"/>
            <w:gridSpan w:val="2"/>
            <w:noWrap/>
          </w:tcPr>
          <w:p w14:paraId="2A7D3DA9"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21.5%</w:t>
            </w:r>
          </w:p>
        </w:tc>
      </w:tr>
      <w:tr w:rsidR="00801914" w:rsidRPr="00B342DA" w14:paraId="4CB19C80" w14:textId="77777777" w:rsidTr="00801914">
        <w:trPr>
          <w:gridAfter w:val="2"/>
          <w:wAfter w:w="164" w:type="dxa"/>
          <w:trHeight w:val="318"/>
          <w:jc w:val="center"/>
        </w:trPr>
        <w:tc>
          <w:tcPr>
            <w:tcW w:w="4333" w:type="dxa"/>
            <w:noWrap/>
          </w:tcPr>
          <w:p w14:paraId="74F51083" w14:textId="77777777" w:rsidR="00801914" w:rsidRPr="00B342DA" w:rsidRDefault="00801914" w:rsidP="00FE5EED">
            <w:pPr>
              <w:jc w:val="right"/>
              <w:rPr>
                <w:rFonts w:ascii="Times New Roman" w:hAnsi="Times New Roman"/>
                <w:sz w:val="24"/>
                <w:szCs w:val="24"/>
              </w:rPr>
            </w:pPr>
            <w:r>
              <w:rPr>
                <w:rFonts w:ascii="Times New Roman" w:hAnsi="Times New Roman"/>
                <w:sz w:val="24"/>
                <w:szCs w:val="24"/>
              </w:rPr>
              <w:t>H</w:t>
            </w:r>
            <w:r w:rsidRPr="009562D1">
              <w:rPr>
                <w:rFonts w:ascii="Times New Roman" w:hAnsi="Times New Roman"/>
                <w:sz w:val="24"/>
                <w:szCs w:val="24"/>
              </w:rPr>
              <w:t>eads of</w:t>
            </w:r>
            <w:r>
              <w:rPr>
                <w:rFonts w:ascii="Times New Roman" w:hAnsi="Times New Roman"/>
                <w:sz w:val="24"/>
                <w:szCs w:val="24"/>
              </w:rPr>
              <w:t xml:space="preserve"> </w:t>
            </w:r>
            <w:r w:rsidRPr="009562D1">
              <w:rPr>
                <w:rFonts w:ascii="Times New Roman" w:hAnsi="Times New Roman"/>
                <w:sz w:val="24"/>
                <w:szCs w:val="24"/>
              </w:rPr>
              <w:t>administrative sections</w:t>
            </w:r>
          </w:p>
        </w:tc>
        <w:tc>
          <w:tcPr>
            <w:tcW w:w="1160" w:type="dxa"/>
            <w:gridSpan w:val="2"/>
            <w:noWrap/>
          </w:tcPr>
          <w:p w14:paraId="7887759C"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116</w:t>
            </w:r>
          </w:p>
        </w:tc>
        <w:tc>
          <w:tcPr>
            <w:tcW w:w="1698" w:type="dxa"/>
            <w:gridSpan w:val="2"/>
            <w:noWrap/>
          </w:tcPr>
          <w:p w14:paraId="7FB7E3F8"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28,9%</w:t>
            </w:r>
          </w:p>
        </w:tc>
      </w:tr>
      <w:tr w:rsidR="00801914" w:rsidRPr="00B342DA" w14:paraId="7FD50A67" w14:textId="77777777" w:rsidTr="00801914">
        <w:trPr>
          <w:gridAfter w:val="2"/>
          <w:wAfter w:w="164" w:type="dxa"/>
          <w:trHeight w:val="318"/>
          <w:jc w:val="center"/>
        </w:trPr>
        <w:tc>
          <w:tcPr>
            <w:tcW w:w="4333" w:type="dxa"/>
            <w:tcBorders>
              <w:bottom w:val="single" w:sz="8" w:space="0" w:color="auto"/>
            </w:tcBorders>
            <w:noWrap/>
          </w:tcPr>
          <w:p w14:paraId="54CDBAA2" w14:textId="77777777" w:rsidR="00801914" w:rsidRPr="00B342DA" w:rsidRDefault="00801914" w:rsidP="00FE5EED">
            <w:pPr>
              <w:jc w:val="right"/>
              <w:rPr>
                <w:rFonts w:ascii="Times New Roman" w:hAnsi="Times New Roman"/>
                <w:sz w:val="24"/>
                <w:szCs w:val="24"/>
              </w:rPr>
            </w:pPr>
            <w:r>
              <w:rPr>
                <w:rFonts w:ascii="Times New Roman" w:hAnsi="Times New Roman"/>
                <w:sz w:val="24"/>
                <w:szCs w:val="24"/>
              </w:rPr>
              <w:t>Village Chief</w:t>
            </w:r>
          </w:p>
        </w:tc>
        <w:tc>
          <w:tcPr>
            <w:tcW w:w="1160" w:type="dxa"/>
            <w:gridSpan w:val="2"/>
            <w:tcBorders>
              <w:bottom w:val="single" w:sz="8" w:space="0" w:color="auto"/>
            </w:tcBorders>
            <w:noWrap/>
          </w:tcPr>
          <w:p w14:paraId="737DB469"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81</w:t>
            </w:r>
          </w:p>
        </w:tc>
        <w:tc>
          <w:tcPr>
            <w:tcW w:w="1698" w:type="dxa"/>
            <w:gridSpan w:val="2"/>
            <w:tcBorders>
              <w:bottom w:val="single" w:sz="8" w:space="0" w:color="auto"/>
            </w:tcBorders>
            <w:noWrap/>
          </w:tcPr>
          <w:p w14:paraId="387F1F00"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20,2%</w:t>
            </w:r>
          </w:p>
        </w:tc>
      </w:tr>
      <w:tr w:rsidR="00801914" w:rsidRPr="00B342DA" w14:paraId="4A322B94" w14:textId="77777777" w:rsidTr="00801914">
        <w:trPr>
          <w:trHeight w:val="318"/>
          <w:jc w:val="center"/>
        </w:trPr>
        <w:tc>
          <w:tcPr>
            <w:tcW w:w="7355" w:type="dxa"/>
            <w:gridSpan w:val="7"/>
            <w:tcBorders>
              <w:top w:val="single" w:sz="8" w:space="0" w:color="auto"/>
            </w:tcBorders>
            <w:noWrap/>
          </w:tcPr>
          <w:p w14:paraId="2AFD1598" w14:textId="77777777" w:rsidR="00801914" w:rsidRPr="00B342DA" w:rsidRDefault="00801914" w:rsidP="00FE5EED">
            <w:pPr>
              <w:rPr>
                <w:rFonts w:ascii="Times New Roman" w:hAnsi="Times New Roman"/>
                <w:b/>
                <w:bCs/>
                <w:sz w:val="24"/>
                <w:szCs w:val="24"/>
              </w:rPr>
            </w:pPr>
            <w:r w:rsidRPr="00B342DA">
              <w:rPr>
                <w:rFonts w:ascii="Times New Roman" w:hAnsi="Times New Roman"/>
                <w:b/>
                <w:bCs/>
                <w:sz w:val="24"/>
                <w:szCs w:val="24"/>
              </w:rPr>
              <w:t>Marital Status</w:t>
            </w:r>
          </w:p>
        </w:tc>
      </w:tr>
      <w:tr w:rsidR="00801914" w:rsidRPr="00B342DA" w14:paraId="58D3FA3D" w14:textId="77777777" w:rsidTr="00801914">
        <w:trPr>
          <w:gridAfter w:val="2"/>
          <w:wAfter w:w="164" w:type="dxa"/>
          <w:trHeight w:val="318"/>
          <w:jc w:val="center"/>
        </w:trPr>
        <w:tc>
          <w:tcPr>
            <w:tcW w:w="4333" w:type="dxa"/>
            <w:tcBorders>
              <w:top w:val="single" w:sz="8" w:space="0" w:color="auto"/>
            </w:tcBorders>
            <w:noWrap/>
          </w:tcPr>
          <w:p w14:paraId="01BEB1EC"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Not Married</w:t>
            </w:r>
          </w:p>
        </w:tc>
        <w:tc>
          <w:tcPr>
            <w:tcW w:w="1160" w:type="dxa"/>
            <w:gridSpan w:val="2"/>
            <w:tcBorders>
              <w:top w:val="single" w:sz="8" w:space="0" w:color="auto"/>
            </w:tcBorders>
            <w:noWrap/>
          </w:tcPr>
          <w:p w14:paraId="0BBC6675"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87</w:t>
            </w:r>
          </w:p>
        </w:tc>
        <w:tc>
          <w:tcPr>
            <w:tcW w:w="1698" w:type="dxa"/>
            <w:gridSpan w:val="2"/>
            <w:tcBorders>
              <w:top w:val="single" w:sz="8" w:space="0" w:color="auto"/>
            </w:tcBorders>
            <w:noWrap/>
          </w:tcPr>
          <w:p w14:paraId="55B34111"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21,7%</w:t>
            </w:r>
          </w:p>
        </w:tc>
      </w:tr>
      <w:tr w:rsidR="00801914" w:rsidRPr="00B342DA" w14:paraId="5B8E39DE" w14:textId="77777777" w:rsidTr="00801914">
        <w:trPr>
          <w:gridAfter w:val="2"/>
          <w:wAfter w:w="164" w:type="dxa"/>
          <w:trHeight w:val="318"/>
          <w:jc w:val="center"/>
        </w:trPr>
        <w:tc>
          <w:tcPr>
            <w:tcW w:w="4333" w:type="dxa"/>
            <w:noWrap/>
          </w:tcPr>
          <w:p w14:paraId="5733D53E"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Married</w:t>
            </w:r>
          </w:p>
        </w:tc>
        <w:tc>
          <w:tcPr>
            <w:tcW w:w="1160" w:type="dxa"/>
            <w:gridSpan w:val="2"/>
            <w:noWrap/>
          </w:tcPr>
          <w:p w14:paraId="7A88989E" w14:textId="77777777" w:rsidR="00801914" w:rsidRPr="00CC2177" w:rsidRDefault="00801914" w:rsidP="00FE5EED">
            <w:pPr>
              <w:jc w:val="center"/>
              <w:rPr>
                <w:rFonts w:ascii="Times New Roman" w:eastAsia="Times New Roman" w:hAnsi="Times New Roman"/>
                <w:b/>
                <w:color w:val="000000"/>
                <w:sz w:val="24"/>
                <w:szCs w:val="24"/>
              </w:rPr>
            </w:pPr>
            <w:r w:rsidRPr="00B342DA">
              <w:rPr>
                <w:rFonts w:ascii="Times New Roman" w:hAnsi="Times New Roman"/>
                <w:sz w:val="24"/>
                <w:szCs w:val="24"/>
              </w:rPr>
              <w:t>280</w:t>
            </w:r>
          </w:p>
        </w:tc>
        <w:tc>
          <w:tcPr>
            <w:tcW w:w="1698" w:type="dxa"/>
            <w:gridSpan w:val="2"/>
            <w:noWrap/>
          </w:tcPr>
          <w:p w14:paraId="6553D138" w14:textId="77777777" w:rsidR="00801914" w:rsidRPr="00CC2177" w:rsidRDefault="00801914" w:rsidP="00FE5EED">
            <w:pPr>
              <w:jc w:val="center"/>
              <w:rPr>
                <w:rFonts w:ascii="Times New Roman" w:eastAsia="Times New Roman" w:hAnsi="Times New Roman"/>
                <w:b/>
                <w:color w:val="000000"/>
                <w:sz w:val="24"/>
                <w:szCs w:val="24"/>
              </w:rPr>
            </w:pPr>
            <w:r w:rsidRPr="00B342DA">
              <w:rPr>
                <w:rFonts w:ascii="Times New Roman" w:hAnsi="Times New Roman"/>
                <w:sz w:val="24"/>
                <w:szCs w:val="24"/>
              </w:rPr>
              <w:t>69,8%</w:t>
            </w:r>
          </w:p>
        </w:tc>
      </w:tr>
      <w:tr w:rsidR="00801914" w:rsidRPr="00B342DA" w14:paraId="0B4D3D44" w14:textId="77777777" w:rsidTr="00801914">
        <w:trPr>
          <w:gridAfter w:val="2"/>
          <w:wAfter w:w="164" w:type="dxa"/>
          <w:trHeight w:val="318"/>
          <w:jc w:val="center"/>
        </w:trPr>
        <w:tc>
          <w:tcPr>
            <w:tcW w:w="4333" w:type="dxa"/>
            <w:tcBorders>
              <w:bottom w:val="single" w:sz="8" w:space="0" w:color="auto"/>
            </w:tcBorders>
            <w:noWrap/>
          </w:tcPr>
          <w:p w14:paraId="7A4EE265" w14:textId="77777777" w:rsidR="00801914" w:rsidRPr="00B342DA" w:rsidRDefault="00801914" w:rsidP="00FE5EED">
            <w:pPr>
              <w:jc w:val="right"/>
              <w:rPr>
                <w:rFonts w:ascii="Times New Roman" w:hAnsi="Times New Roman"/>
                <w:bCs/>
                <w:sz w:val="24"/>
                <w:szCs w:val="24"/>
              </w:rPr>
            </w:pPr>
            <w:r w:rsidRPr="00B342DA">
              <w:rPr>
                <w:rFonts w:ascii="Times New Roman" w:hAnsi="Times New Roman"/>
                <w:bCs/>
                <w:sz w:val="24"/>
                <w:szCs w:val="24"/>
              </w:rPr>
              <w:t>Widow/Widower</w:t>
            </w:r>
          </w:p>
        </w:tc>
        <w:tc>
          <w:tcPr>
            <w:tcW w:w="1160" w:type="dxa"/>
            <w:gridSpan w:val="2"/>
            <w:tcBorders>
              <w:bottom w:val="single" w:sz="8" w:space="0" w:color="auto"/>
            </w:tcBorders>
            <w:noWrap/>
          </w:tcPr>
          <w:p w14:paraId="3F503A59"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34</w:t>
            </w:r>
          </w:p>
        </w:tc>
        <w:tc>
          <w:tcPr>
            <w:tcW w:w="1698" w:type="dxa"/>
            <w:gridSpan w:val="2"/>
            <w:tcBorders>
              <w:bottom w:val="single" w:sz="8" w:space="0" w:color="auto"/>
            </w:tcBorders>
            <w:noWrap/>
          </w:tcPr>
          <w:p w14:paraId="03DB3357" w14:textId="77777777" w:rsidR="00801914" w:rsidRPr="00B342DA" w:rsidRDefault="00801914" w:rsidP="00FE5EED">
            <w:pPr>
              <w:jc w:val="center"/>
              <w:rPr>
                <w:rFonts w:ascii="Times New Roman" w:hAnsi="Times New Roman"/>
                <w:sz w:val="24"/>
                <w:szCs w:val="24"/>
              </w:rPr>
            </w:pPr>
            <w:r w:rsidRPr="00B342DA">
              <w:rPr>
                <w:rFonts w:ascii="Times New Roman" w:hAnsi="Times New Roman"/>
                <w:sz w:val="24"/>
                <w:szCs w:val="24"/>
              </w:rPr>
              <w:t>8,5%</w:t>
            </w:r>
          </w:p>
        </w:tc>
      </w:tr>
      <w:tr w:rsidR="00801914" w:rsidRPr="00B342DA" w14:paraId="1AC0C844" w14:textId="77777777" w:rsidTr="00801914">
        <w:trPr>
          <w:gridAfter w:val="1"/>
          <w:wAfter w:w="13" w:type="dxa"/>
          <w:trHeight w:val="318"/>
          <w:jc w:val="center"/>
        </w:trPr>
        <w:tc>
          <w:tcPr>
            <w:tcW w:w="4385" w:type="dxa"/>
            <w:gridSpan w:val="2"/>
            <w:tcBorders>
              <w:top w:val="single" w:sz="8" w:space="0" w:color="auto"/>
              <w:bottom w:val="single" w:sz="8" w:space="0" w:color="auto"/>
            </w:tcBorders>
            <w:noWrap/>
          </w:tcPr>
          <w:p w14:paraId="2D341712" w14:textId="77777777" w:rsidR="00801914" w:rsidRPr="00CC2177" w:rsidRDefault="00801914" w:rsidP="00FE5EED">
            <w:pPr>
              <w:jc w:val="center"/>
              <w:rPr>
                <w:rFonts w:ascii="Times New Roman" w:eastAsia="Times New Roman" w:hAnsi="Times New Roman"/>
                <w:b/>
                <w:bCs/>
                <w:color w:val="000000"/>
                <w:sz w:val="24"/>
                <w:szCs w:val="24"/>
              </w:rPr>
            </w:pPr>
            <w:r w:rsidRPr="00CC2177">
              <w:rPr>
                <w:rFonts w:ascii="Times New Roman" w:eastAsia="Times New Roman" w:hAnsi="Times New Roman"/>
                <w:b/>
                <w:bCs/>
                <w:color w:val="000000"/>
                <w:sz w:val="24"/>
                <w:szCs w:val="24"/>
              </w:rPr>
              <w:t>Total</w:t>
            </w:r>
          </w:p>
        </w:tc>
        <w:tc>
          <w:tcPr>
            <w:tcW w:w="1160" w:type="dxa"/>
            <w:gridSpan w:val="2"/>
            <w:tcBorders>
              <w:top w:val="single" w:sz="8" w:space="0" w:color="auto"/>
              <w:bottom w:val="single" w:sz="8" w:space="0" w:color="auto"/>
            </w:tcBorders>
            <w:noWrap/>
          </w:tcPr>
          <w:p w14:paraId="4265DE50"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401</w:t>
            </w:r>
          </w:p>
        </w:tc>
        <w:tc>
          <w:tcPr>
            <w:tcW w:w="1797" w:type="dxa"/>
            <w:gridSpan w:val="2"/>
            <w:tcBorders>
              <w:bottom w:val="single" w:sz="8" w:space="0" w:color="auto"/>
            </w:tcBorders>
            <w:noWrap/>
          </w:tcPr>
          <w:p w14:paraId="590E758F"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100,00%</w:t>
            </w:r>
          </w:p>
        </w:tc>
      </w:tr>
    </w:tbl>
    <w:p w14:paraId="70CF9FF5" w14:textId="233FB066" w:rsidR="00801914" w:rsidRPr="0088553E" w:rsidRDefault="00801914" w:rsidP="00801914">
      <w:pPr>
        <w:pStyle w:val="BodyText"/>
        <w:ind w:right="45"/>
        <w:rPr>
          <w:i/>
          <w:sz w:val="20"/>
          <w:szCs w:val="20"/>
        </w:rPr>
      </w:pPr>
      <w:r>
        <w:rPr>
          <w:i/>
          <w:sz w:val="22"/>
          <w:szCs w:val="22"/>
        </w:rPr>
        <w:t xml:space="preserve">    </w:t>
      </w:r>
      <w:r w:rsidRPr="0088553E">
        <w:rPr>
          <w:i/>
          <w:sz w:val="20"/>
          <w:szCs w:val="20"/>
        </w:rPr>
        <w:t>Source: Data Processed by the Researchers (2025)</w:t>
      </w:r>
    </w:p>
    <w:p w14:paraId="6838703D" w14:textId="77777777" w:rsidR="00801914" w:rsidRDefault="00801914" w:rsidP="00801914">
      <w:pPr>
        <w:spacing w:line="360" w:lineRule="auto"/>
        <w:jc w:val="both"/>
        <w:rPr>
          <w:rFonts w:ascii="Times New Roman" w:eastAsia="Times New Roman" w:hAnsi="Times New Roman"/>
          <w:b/>
          <w:sz w:val="24"/>
          <w:szCs w:val="24"/>
          <w:lang w:eastAsia="en-ID"/>
        </w:rPr>
      </w:pPr>
    </w:p>
    <w:p w14:paraId="5836C646" w14:textId="77777777" w:rsidR="00801914" w:rsidRPr="00857038" w:rsidRDefault="00801914" w:rsidP="00801914">
      <w:pPr>
        <w:spacing w:line="360" w:lineRule="auto"/>
        <w:jc w:val="both"/>
        <w:rPr>
          <w:rFonts w:ascii="Times New Roman" w:eastAsia="Times New Roman" w:hAnsi="Times New Roman"/>
          <w:b/>
          <w:sz w:val="24"/>
          <w:szCs w:val="24"/>
          <w:lang w:eastAsia="en-ID"/>
        </w:rPr>
      </w:pPr>
      <w:r w:rsidRPr="00857038">
        <w:rPr>
          <w:rFonts w:ascii="Times New Roman" w:eastAsia="Times New Roman" w:hAnsi="Times New Roman"/>
          <w:b/>
          <w:sz w:val="24"/>
          <w:szCs w:val="24"/>
          <w:lang w:eastAsia="en-ID"/>
        </w:rPr>
        <w:t>RESULT AND DISCUSSION</w:t>
      </w:r>
    </w:p>
    <w:p w14:paraId="48615DC5" w14:textId="77777777" w:rsidR="00801914" w:rsidRDefault="00801914" w:rsidP="00801914">
      <w:pPr>
        <w:pStyle w:val="ListParagraph"/>
        <w:spacing w:line="360" w:lineRule="auto"/>
        <w:ind w:left="0" w:firstLine="567"/>
        <w:jc w:val="both"/>
        <w:rPr>
          <w:rFonts w:ascii="Times New Roman" w:eastAsia="Times New Roman" w:hAnsi="Times New Roman"/>
          <w:sz w:val="24"/>
          <w:szCs w:val="24"/>
          <w:lang w:eastAsia="en-ID"/>
        </w:rPr>
      </w:pPr>
      <w:r w:rsidRPr="00857038">
        <w:rPr>
          <w:rFonts w:ascii="Times New Roman" w:eastAsia="Times New Roman" w:hAnsi="Times New Roman"/>
          <w:sz w:val="24"/>
          <w:szCs w:val="24"/>
          <w:lang w:eastAsia="en-ID"/>
        </w:rPr>
        <w:t>The Financial Fraud Tendency (</w:t>
      </w:r>
      <w:r w:rsidRPr="00AD59C0">
        <w:rPr>
          <w:rFonts w:ascii="Times New Roman" w:eastAsia="Times New Roman" w:hAnsi="Times New Roman"/>
          <w:sz w:val="24"/>
          <w:szCs w:val="24"/>
        </w:rPr>
        <w:t xml:space="preserve">abbreviated as </w:t>
      </w:r>
      <w:r w:rsidRPr="00857038">
        <w:rPr>
          <w:rFonts w:ascii="Times New Roman" w:eastAsia="Times New Roman" w:hAnsi="Times New Roman"/>
          <w:sz w:val="24"/>
          <w:szCs w:val="24"/>
          <w:lang w:eastAsia="en-ID"/>
        </w:rPr>
        <w:t xml:space="preserve">FFT) recorded an empirical mean score of 62.975, which </w:t>
      </w:r>
      <w:r w:rsidRPr="009562D1">
        <w:rPr>
          <w:rFonts w:ascii="Times New Roman" w:eastAsia="Times New Roman" w:hAnsi="Times New Roman"/>
          <w:sz w:val="24"/>
          <w:szCs w:val="24"/>
          <w:lang w:eastAsia="en-ID"/>
        </w:rPr>
        <w:t>is classified as high</w:t>
      </w:r>
      <w:r w:rsidRPr="00857038">
        <w:rPr>
          <w:rFonts w:ascii="Times New Roman" w:eastAsia="Times New Roman" w:hAnsi="Times New Roman"/>
          <w:sz w:val="24"/>
          <w:szCs w:val="24"/>
          <w:lang w:eastAsia="en-ID"/>
        </w:rPr>
        <w:t>. In contrast, the Internal Locus of Control (ILC) and Financial Behavior (FB) variables obtained empirical mean scores of 20.820 and 23.683, respectively</w:t>
      </w:r>
      <w:r>
        <w:rPr>
          <w:rFonts w:ascii="Times New Roman" w:eastAsia="Times New Roman" w:hAnsi="Times New Roman"/>
          <w:sz w:val="24"/>
          <w:szCs w:val="24"/>
          <w:lang w:eastAsia="en-ID"/>
        </w:rPr>
        <w:t xml:space="preserve">, </w:t>
      </w:r>
      <w:r w:rsidRPr="00857038">
        <w:rPr>
          <w:rFonts w:ascii="Times New Roman" w:eastAsia="Times New Roman" w:hAnsi="Times New Roman"/>
          <w:sz w:val="24"/>
          <w:szCs w:val="24"/>
          <w:lang w:eastAsia="en-ID"/>
        </w:rPr>
        <w:t>both of which are classified as low.</w:t>
      </w:r>
    </w:p>
    <w:p w14:paraId="2C591A61" w14:textId="77777777" w:rsidR="0037520B" w:rsidRPr="00AC0602" w:rsidRDefault="0037520B" w:rsidP="00801914">
      <w:pPr>
        <w:pStyle w:val="ListParagraph"/>
        <w:spacing w:line="360" w:lineRule="auto"/>
        <w:ind w:left="0" w:firstLine="567"/>
        <w:jc w:val="both"/>
        <w:rPr>
          <w:rFonts w:ascii="Times New Roman" w:eastAsia="Times New Roman" w:hAnsi="Times New Roman"/>
          <w:sz w:val="24"/>
          <w:szCs w:val="24"/>
          <w:lang w:eastAsia="en-ID"/>
        </w:rPr>
      </w:pPr>
    </w:p>
    <w:p w14:paraId="5A572F73" w14:textId="77777777" w:rsidR="00801914" w:rsidRPr="00CC2177" w:rsidRDefault="00801914" w:rsidP="00801914">
      <w:pPr>
        <w:jc w:val="center"/>
        <w:rPr>
          <w:rFonts w:ascii="Times New Roman" w:eastAsia="Times New Roman" w:hAnsi="Times New Roman"/>
          <w:b/>
          <w:i/>
          <w:sz w:val="24"/>
          <w:szCs w:val="24"/>
        </w:rPr>
      </w:pPr>
      <w:r w:rsidRPr="00CC2177">
        <w:rPr>
          <w:rFonts w:ascii="Times New Roman" w:eastAsia="Times New Roman" w:hAnsi="Times New Roman"/>
          <w:b/>
          <w:sz w:val="24"/>
          <w:szCs w:val="24"/>
        </w:rPr>
        <w:t>Table 2. Descriptive Statistics</w:t>
      </w:r>
    </w:p>
    <w:tbl>
      <w:tblPr>
        <w:tblW w:w="5620" w:type="dxa"/>
        <w:jc w:val="center"/>
        <w:tblLayout w:type="fixed"/>
        <w:tblCellMar>
          <w:left w:w="0" w:type="dxa"/>
          <w:right w:w="0" w:type="dxa"/>
        </w:tblCellMar>
        <w:tblLook w:val="04A0" w:firstRow="1" w:lastRow="0" w:firstColumn="1" w:lastColumn="0" w:noHBand="0" w:noVBand="1"/>
      </w:tblPr>
      <w:tblGrid>
        <w:gridCol w:w="2268"/>
        <w:gridCol w:w="1065"/>
        <w:gridCol w:w="22"/>
        <w:gridCol w:w="1378"/>
        <w:gridCol w:w="38"/>
        <w:gridCol w:w="812"/>
        <w:gridCol w:w="37"/>
      </w:tblGrid>
      <w:tr w:rsidR="00801914" w:rsidRPr="00B342DA" w14:paraId="75F54E7D" w14:textId="77777777" w:rsidTr="00FE5EED">
        <w:trPr>
          <w:gridAfter w:val="1"/>
          <w:wAfter w:w="37" w:type="dxa"/>
          <w:trHeight w:val="209"/>
          <w:tblHeader/>
          <w:jc w:val="center"/>
        </w:trPr>
        <w:tc>
          <w:tcPr>
            <w:tcW w:w="2268" w:type="dxa"/>
            <w:tcBorders>
              <w:top w:val="single" w:sz="4" w:space="0" w:color="auto"/>
              <w:bottom w:val="single" w:sz="4" w:space="0" w:color="auto"/>
            </w:tcBorders>
            <w:tcMar>
              <w:top w:w="45" w:type="dxa"/>
              <w:left w:w="180" w:type="dxa"/>
              <w:bottom w:w="45" w:type="dxa"/>
              <w:right w:w="180" w:type="dxa"/>
            </w:tcMar>
            <w:vAlign w:val="center"/>
            <w:hideMark/>
          </w:tcPr>
          <w:p w14:paraId="5DC4234C"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 </w:t>
            </w:r>
          </w:p>
        </w:tc>
        <w:tc>
          <w:tcPr>
            <w:tcW w:w="1065" w:type="dxa"/>
            <w:tcBorders>
              <w:top w:val="single" w:sz="4" w:space="0" w:color="auto"/>
              <w:bottom w:val="single" w:sz="4" w:space="0" w:color="auto"/>
            </w:tcBorders>
            <w:tcMar>
              <w:top w:w="45" w:type="dxa"/>
              <w:left w:w="180" w:type="dxa"/>
              <w:bottom w:w="45" w:type="dxa"/>
              <w:right w:w="180" w:type="dxa"/>
            </w:tcMar>
            <w:vAlign w:val="center"/>
            <w:hideMark/>
          </w:tcPr>
          <w:p w14:paraId="488AF041" w14:textId="77777777" w:rsidR="00801914" w:rsidRPr="00B342DA" w:rsidRDefault="00801914" w:rsidP="00FE5EED">
            <w:pPr>
              <w:jc w:val="center"/>
              <w:rPr>
                <w:rFonts w:ascii="Times New Roman" w:eastAsia="Times New Roman" w:hAnsi="Times New Roman"/>
                <w:b/>
                <w:color w:val="000000"/>
                <w:sz w:val="24"/>
                <w:szCs w:val="24"/>
              </w:rPr>
            </w:pPr>
            <w:r w:rsidRPr="00B342DA">
              <w:rPr>
                <w:rFonts w:ascii="Times New Roman" w:eastAsia="Times New Roman" w:hAnsi="Times New Roman"/>
                <w:b/>
                <w:color w:val="000000"/>
                <w:sz w:val="24"/>
                <w:szCs w:val="24"/>
              </w:rPr>
              <w:t>FFT</w:t>
            </w:r>
          </w:p>
        </w:tc>
        <w:tc>
          <w:tcPr>
            <w:tcW w:w="1400" w:type="dxa"/>
            <w:gridSpan w:val="2"/>
            <w:tcBorders>
              <w:top w:val="single" w:sz="4" w:space="0" w:color="auto"/>
              <w:bottom w:val="single" w:sz="4" w:space="0" w:color="auto"/>
            </w:tcBorders>
            <w:tcMar>
              <w:top w:w="45" w:type="dxa"/>
              <w:left w:w="180" w:type="dxa"/>
              <w:bottom w:w="45" w:type="dxa"/>
              <w:right w:w="180" w:type="dxa"/>
            </w:tcMar>
            <w:vAlign w:val="center"/>
            <w:hideMark/>
          </w:tcPr>
          <w:p w14:paraId="152FB8B2" w14:textId="77777777" w:rsidR="00801914" w:rsidRPr="00B342DA" w:rsidRDefault="00801914" w:rsidP="00FE5EED">
            <w:pPr>
              <w:jc w:val="center"/>
              <w:rPr>
                <w:rFonts w:ascii="Times New Roman" w:eastAsia="Times New Roman" w:hAnsi="Times New Roman"/>
                <w:b/>
                <w:color w:val="000000"/>
                <w:sz w:val="24"/>
                <w:szCs w:val="24"/>
              </w:rPr>
            </w:pPr>
            <w:r w:rsidRPr="00B342DA">
              <w:rPr>
                <w:rFonts w:ascii="Times New Roman" w:eastAsia="Times New Roman" w:hAnsi="Times New Roman"/>
                <w:b/>
                <w:color w:val="000000"/>
                <w:sz w:val="24"/>
                <w:szCs w:val="24"/>
              </w:rPr>
              <w:t>ILC</w:t>
            </w:r>
          </w:p>
        </w:tc>
        <w:tc>
          <w:tcPr>
            <w:tcW w:w="850" w:type="dxa"/>
            <w:gridSpan w:val="2"/>
            <w:tcBorders>
              <w:top w:val="single" w:sz="4" w:space="0" w:color="auto"/>
              <w:bottom w:val="single" w:sz="4" w:space="0" w:color="auto"/>
            </w:tcBorders>
            <w:tcMar>
              <w:top w:w="45" w:type="dxa"/>
              <w:left w:w="180" w:type="dxa"/>
              <w:bottom w:w="45" w:type="dxa"/>
              <w:right w:w="180" w:type="dxa"/>
            </w:tcMar>
            <w:vAlign w:val="center"/>
            <w:hideMark/>
          </w:tcPr>
          <w:p w14:paraId="62CD384A" w14:textId="77777777" w:rsidR="00801914" w:rsidRPr="00B342DA" w:rsidRDefault="00801914" w:rsidP="00FE5EED">
            <w:pPr>
              <w:jc w:val="center"/>
              <w:rPr>
                <w:rFonts w:ascii="Times New Roman" w:eastAsia="Times New Roman" w:hAnsi="Times New Roman"/>
                <w:b/>
                <w:color w:val="000000"/>
                <w:sz w:val="24"/>
                <w:szCs w:val="24"/>
              </w:rPr>
            </w:pPr>
            <w:r w:rsidRPr="00B342DA">
              <w:rPr>
                <w:rFonts w:ascii="Times New Roman" w:eastAsia="Times New Roman" w:hAnsi="Times New Roman"/>
                <w:b/>
                <w:color w:val="000000"/>
                <w:sz w:val="24"/>
                <w:szCs w:val="24"/>
              </w:rPr>
              <w:t>FB</w:t>
            </w:r>
          </w:p>
        </w:tc>
      </w:tr>
      <w:tr w:rsidR="00801914" w:rsidRPr="00B342DA" w14:paraId="63A49445" w14:textId="77777777" w:rsidTr="00FE5EED">
        <w:trPr>
          <w:trHeight w:val="225"/>
          <w:jc w:val="center"/>
        </w:trPr>
        <w:tc>
          <w:tcPr>
            <w:tcW w:w="2268" w:type="dxa"/>
            <w:tcBorders>
              <w:top w:val="single" w:sz="4" w:space="0" w:color="auto"/>
            </w:tcBorders>
            <w:tcMar>
              <w:top w:w="162" w:type="dxa"/>
              <w:left w:w="180" w:type="dxa"/>
              <w:bottom w:w="15" w:type="dxa"/>
              <w:right w:w="0" w:type="dxa"/>
            </w:tcMar>
            <w:vAlign w:val="center"/>
            <w:hideMark/>
          </w:tcPr>
          <w:p w14:paraId="5ED108EB" w14:textId="77777777" w:rsidR="00801914" w:rsidRPr="00B342DA" w:rsidRDefault="00801914" w:rsidP="00FE5EED">
            <w:pPr>
              <w:ind w:left="-175"/>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Mean</w:t>
            </w:r>
          </w:p>
        </w:tc>
        <w:tc>
          <w:tcPr>
            <w:tcW w:w="1087" w:type="dxa"/>
            <w:gridSpan w:val="2"/>
            <w:tcBorders>
              <w:top w:val="single" w:sz="4" w:space="0" w:color="auto"/>
            </w:tcBorders>
            <w:tcMar>
              <w:top w:w="162" w:type="dxa"/>
              <w:left w:w="180" w:type="dxa"/>
              <w:bottom w:w="15" w:type="dxa"/>
              <w:right w:w="0" w:type="dxa"/>
            </w:tcMar>
            <w:vAlign w:val="center"/>
            <w:hideMark/>
          </w:tcPr>
          <w:p w14:paraId="145014C9"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62,975</w:t>
            </w:r>
          </w:p>
        </w:tc>
        <w:tc>
          <w:tcPr>
            <w:tcW w:w="1416" w:type="dxa"/>
            <w:gridSpan w:val="2"/>
            <w:tcBorders>
              <w:top w:val="single" w:sz="4" w:space="0" w:color="auto"/>
            </w:tcBorders>
            <w:tcMar>
              <w:top w:w="162" w:type="dxa"/>
              <w:left w:w="180" w:type="dxa"/>
              <w:bottom w:w="15" w:type="dxa"/>
              <w:right w:w="0" w:type="dxa"/>
            </w:tcMar>
            <w:vAlign w:val="center"/>
            <w:hideMark/>
          </w:tcPr>
          <w:p w14:paraId="5F3A2EB2"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20,820</w:t>
            </w:r>
          </w:p>
        </w:tc>
        <w:tc>
          <w:tcPr>
            <w:tcW w:w="849" w:type="dxa"/>
            <w:gridSpan w:val="2"/>
            <w:tcMar>
              <w:top w:w="162" w:type="dxa"/>
              <w:left w:w="180" w:type="dxa"/>
              <w:bottom w:w="15" w:type="dxa"/>
              <w:right w:w="0" w:type="dxa"/>
            </w:tcMar>
            <w:vAlign w:val="center"/>
            <w:hideMark/>
          </w:tcPr>
          <w:p w14:paraId="561E4E09"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23,683</w:t>
            </w:r>
          </w:p>
        </w:tc>
      </w:tr>
      <w:tr w:rsidR="00801914" w:rsidRPr="00B342DA" w14:paraId="61EC64FC" w14:textId="77777777" w:rsidTr="00FE5EED">
        <w:trPr>
          <w:trHeight w:val="225"/>
          <w:jc w:val="center"/>
        </w:trPr>
        <w:tc>
          <w:tcPr>
            <w:tcW w:w="2268" w:type="dxa"/>
            <w:tcMar>
              <w:top w:w="15" w:type="dxa"/>
              <w:left w:w="180" w:type="dxa"/>
              <w:bottom w:w="15" w:type="dxa"/>
              <w:right w:w="0" w:type="dxa"/>
            </w:tcMar>
            <w:vAlign w:val="center"/>
            <w:hideMark/>
          </w:tcPr>
          <w:p w14:paraId="3BD91593" w14:textId="77777777" w:rsidR="00801914" w:rsidRPr="00B342DA" w:rsidRDefault="00801914" w:rsidP="00FE5EED">
            <w:pPr>
              <w:ind w:left="-175"/>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Std. Deviation</w:t>
            </w:r>
          </w:p>
        </w:tc>
        <w:tc>
          <w:tcPr>
            <w:tcW w:w="1087" w:type="dxa"/>
            <w:gridSpan w:val="2"/>
            <w:tcMar>
              <w:top w:w="15" w:type="dxa"/>
              <w:left w:w="180" w:type="dxa"/>
              <w:bottom w:w="15" w:type="dxa"/>
              <w:right w:w="0" w:type="dxa"/>
            </w:tcMar>
            <w:vAlign w:val="center"/>
            <w:hideMark/>
          </w:tcPr>
          <w:p w14:paraId="121D8192"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5,972</w:t>
            </w:r>
          </w:p>
        </w:tc>
        <w:tc>
          <w:tcPr>
            <w:tcW w:w="1416" w:type="dxa"/>
            <w:gridSpan w:val="2"/>
            <w:tcMar>
              <w:top w:w="15" w:type="dxa"/>
              <w:left w:w="180" w:type="dxa"/>
              <w:bottom w:w="15" w:type="dxa"/>
              <w:right w:w="0" w:type="dxa"/>
            </w:tcMar>
            <w:vAlign w:val="center"/>
            <w:hideMark/>
          </w:tcPr>
          <w:p w14:paraId="1100775D"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4,484</w:t>
            </w:r>
          </w:p>
        </w:tc>
        <w:tc>
          <w:tcPr>
            <w:tcW w:w="849" w:type="dxa"/>
            <w:gridSpan w:val="2"/>
            <w:tcMar>
              <w:top w:w="15" w:type="dxa"/>
              <w:left w:w="180" w:type="dxa"/>
              <w:bottom w:w="15" w:type="dxa"/>
              <w:right w:w="0" w:type="dxa"/>
            </w:tcMar>
            <w:vAlign w:val="center"/>
            <w:hideMark/>
          </w:tcPr>
          <w:p w14:paraId="59EFDC89"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3,832</w:t>
            </w:r>
          </w:p>
        </w:tc>
      </w:tr>
      <w:tr w:rsidR="00801914" w:rsidRPr="00B342DA" w14:paraId="26C7E93D" w14:textId="77777777" w:rsidTr="00FE5EED">
        <w:trPr>
          <w:trHeight w:val="225"/>
          <w:jc w:val="center"/>
        </w:trPr>
        <w:tc>
          <w:tcPr>
            <w:tcW w:w="2268" w:type="dxa"/>
            <w:tcMar>
              <w:top w:w="15" w:type="dxa"/>
              <w:left w:w="180" w:type="dxa"/>
              <w:bottom w:w="15" w:type="dxa"/>
              <w:right w:w="0" w:type="dxa"/>
            </w:tcMar>
            <w:vAlign w:val="center"/>
            <w:hideMark/>
          </w:tcPr>
          <w:p w14:paraId="44EB02FE" w14:textId="77777777" w:rsidR="00801914" w:rsidRPr="00B342DA" w:rsidRDefault="00801914" w:rsidP="00FE5EED">
            <w:pPr>
              <w:ind w:left="-175"/>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Skewness</w:t>
            </w:r>
          </w:p>
        </w:tc>
        <w:tc>
          <w:tcPr>
            <w:tcW w:w="1087" w:type="dxa"/>
            <w:gridSpan w:val="2"/>
            <w:tcMar>
              <w:top w:w="15" w:type="dxa"/>
              <w:left w:w="180" w:type="dxa"/>
              <w:bottom w:w="15" w:type="dxa"/>
              <w:right w:w="0" w:type="dxa"/>
            </w:tcMar>
            <w:vAlign w:val="center"/>
            <w:hideMark/>
          </w:tcPr>
          <w:p w14:paraId="06DEB640"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-0,169</w:t>
            </w:r>
          </w:p>
        </w:tc>
        <w:tc>
          <w:tcPr>
            <w:tcW w:w="1416" w:type="dxa"/>
            <w:gridSpan w:val="2"/>
            <w:tcMar>
              <w:top w:w="15" w:type="dxa"/>
              <w:left w:w="180" w:type="dxa"/>
              <w:bottom w:w="15" w:type="dxa"/>
              <w:right w:w="0" w:type="dxa"/>
            </w:tcMar>
            <w:vAlign w:val="center"/>
            <w:hideMark/>
          </w:tcPr>
          <w:p w14:paraId="29025EE9"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0,011</w:t>
            </w:r>
          </w:p>
        </w:tc>
        <w:tc>
          <w:tcPr>
            <w:tcW w:w="849" w:type="dxa"/>
            <w:gridSpan w:val="2"/>
            <w:tcMar>
              <w:top w:w="15" w:type="dxa"/>
              <w:left w:w="180" w:type="dxa"/>
              <w:bottom w:w="15" w:type="dxa"/>
              <w:right w:w="0" w:type="dxa"/>
            </w:tcMar>
            <w:vAlign w:val="center"/>
            <w:hideMark/>
          </w:tcPr>
          <w:p w14:paraId="5AFFEA2F"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0,093</w:t>
            </w:r>
          </w:p>
        </w:tc>
      </w:tr>
      <w:tr w:rsidR="00801914" w:rsidRPr="00B342DA" w14:paraId="336EADE3" w14:textId="77777777" w:rsidTr="00FE5EED">
        <w:trPr>
          <w:trHeight w:val="225"/>
          <w:jc w:val="center"/>
        </w:trPr>
        <w:tc>
          <w:tcPr>
            <w:tcW w:w="2268" w:type="dxa"/>
            <w:tcMar>
              <w:top w:w="15" w:type="dxa"/>
              <w:left w:w="180" w:type="dxa"/>
              <w:bottom w:w="15" w:type="dxa"/>
              <w:right w:w="0" w:type="dxa"/>
            </w:tcMar>
            <w:vAlign w:val="center"/>
            <w:hideMark/>
          </w:tcPr>
          <w:p w14:paraId="5E4B8CAB" w14:textId="77777777" w:rsidR="00801914" w:rsidRPr="00B342DA" w:rsidRDefault="00801914" w:rsidP="00FE5EED">
            <w:pPr>
              <w:ind w:left="-175"/>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Std. Error of Skewness</w:t>
            </w:r>
          </w:p>
        </w:tc>
        <w:tc>
          <w:tcPr>
            <w:tcW w:w="1087" w:type="dxa"/>
            <w:gridSpan w:val="2"/>
            <w:tcMar>
              <w:top w:w="15" w:type="dxa"/>
              <w:left w:w="180" w:type="dxa"/>
              <w:bottom w:w="15" w:type="dxa"/>
              <w:right w:w="0" w:type="dxa"/>
            </w:tcMar>
            <w:vAlign w:val="center"/>
            <w:hideMark/>
          </w:tcPr>
          <w:p w14:paraId="13606F37"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0,122</w:t>
            </w:r>
          </w:p>
        </w:tc>
        <w:tc>
          <w:tcPr>
            <w:tcW w:w="1416" w:type="dxa"/>
            <w:gridSpan w:val="2"/>
            <w:tcMar>
              <w:top w:w="15" w:type="dxa"/>
              <w:left w:w="180" w:type="dxa"/>
              <w:bottom w:w="15" w:type="dxa"/>
              <w:right w:w="0" w:type="dxa"/>
            </w:tcMar>
            <w:vAlign w:val="center"/>
            <w:hideMark/>
          </w:tcPr>
          <w:p w14:paraId="75974474"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0,122</w:t>
            </w:r>
          </w:p>
        </w:tc>
        <w:tc>
          <w:tcPr>
            <w:tcW w:w="849" w:type="dxa"/>
            <w:gridSpan w:val="2"/>
            <w:tcMar>
              <w:top w:w="15" w:type="dxa"/>
              <w:left w:w="180" w:type="dxa"/>
              <w:bottom w:w="15" w:type="dxa"/>
              <w:right w:w="0" w:type="dxa"/>
            </w:tcMar>
            <w:vAlign w:val="center"/>
            <w:hideMark/>
          </w:tcPr>
          <w:p w14:paraId="472A0E2D"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0,122</w:t>
            </w:r>
          </w:p>
        </w:tc>
      </w:tr>
      <w:tr w:rsidR="00801914" w:rsidRPr="00B342DA" w14:paraId="35C56BD1" w14:textId="77777777" w:rsidTr="00FE5EED">
        <w:trPr>
          <w:trHeight w:val="225"/>
          <w:jc w:val="center"/>
        </w:trPr>
        <w:tc>
          <w:tcPr>
            <w:tcW w:w="2268" w:type="dxa"/>
            <w:tcMar>
              <w:top w:w="15" w:type="dxa"/>
              <w:left w:w="180" w:type="dxa"/>
              <w:bottom w:w="15" w:type="dxa"/>
              <w:right w:w="0" w:type="dxa"/>
            </w:tcMar>
            <w:vAlign w:val="center"/>
            <w:hideMark/>
          </w:tcPr>
          <w:p w14:paraId="3811B9A1" w14:textId="77777777" w:rsidR="00801914" w:rsidRPr="00B342DA" w:rsidRDefault="00801914" w:rsidP="00FE5EED">
            <w:pPr>
              <w:ind w:left="-175"/>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Kurtosis</w:t>
            </w:r>
          </w:p>
        </w:tc>
        <w:tc>
          <w:tcPr>
            <w:tcW w:w="1087" w:type="dxa"/>
            <w:gridSpan w:val="2"/>
            <w:tcMar>
              <w:top w:w="15" w:type="dxa"/>
              <w:left w:w="180" w:type="dxa"/>
              <w:bottom w:w="15" w:type="dxa"/>
              <w:right w:w="0" w:type="dxa"/>
            </w:tcMar>
            <w:vAlign w:val="center"/>
            <w:hideMark/>
          </w:tcPr>
          <w:p w14:paraId="1B0B1900"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-0,264</w:t>
            </w:r>
          </w:p>
        </w:tc>
        <w:tc>
          <w:tcPr>
            <w:tcW w:w="1416" w:type="dxa"/>
            <w:gridSpan w:val="2"/>
            <w:tcMar>
              <w:top w:w="15" w:type="dxa"/>
              <w:left w:w="180" w:type="dxa"/>
              <w:bottom w:w="15" w:type="dxa"/>
              <w:right w:w="0" w:type="dxa"/>
            </w:tcMar>
            <w:vAlign w:val="center"/>
            <w:hideMark/>
          </w:tcPr>
          <w:p w14:paraId="13CAE1BB"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0,021</w:t>
            </w:r>
          </w:p>
        </w:tc>
        <w:tc>
          <w:tcPr>
            <w:tcW w:w="849" w:type="dxa"/>
            <w:gridSpan w:val="2"/>
            <w:tcMar>
              <w:top w:w="15" w:type="dxa"/>
              <w:left w:w="180" w:type="dxa"/>
              <w:bottom w:w="15" w:type="dxa"/>
              <w:right w:w="0" w:type="dxa"/>
            </w:tcMar>
            <w:vAlign w:val="center"/>
            <w:hideMark/>
          </w:tcPr>
          <w:p w14:paraId="69427668"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-0,343</w:t>
            </w:r>
          </w:p>
        </w:tc>
      </w:tr>
      <w:tr w:rsidR="00801914" w:rsidRPr="00B342DA" w14:paraId="2412E880" w14:textId="77777777" w:rsidTr="00FE5EED">
        <w:trPr>
          <w:trHeight w:val="225"/>
          <w:jc w:val="center"/>
        </w:trPr>
        <w:tc>
          <w:tcPr>
            <w:tcW w:w="2268" w:type="dxa"/>
            <w:tcBorders>
              <w:bottom w:val="single" w:sz="4" w:space="0" w:color="auto"/>
            </w:tcBorders>
            <w:tcMar>
              <w:top w:w="15" w:type="dxa"/>
              <w:left w:w="180" w:type="dxa"/>
              <w:bottom w:w="15" w:type="dxa"/>
              <w:right w:w="0" w:type="dxa"/>
            </w:tcMar>
            <w:vAlign w:val="center"/>
            <w:hideMark/>
          </w:tcPr>
          <w:p w14:paraId="71C60A50" w14:textId="77777777" w:rsidR="00801914" w:rsidRPr="00B342DA" w:rsidRDefault="00801914" w:rsidP="00FE5EED">
            <w:pPr>
              <w:ind w:left="-175"/>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Std. Error of Kurtosis</w:t>
            </w:r>
          </w:p>
        </w:tc>
        <w:tc>
          <w:tcPr>
            <w:tcW w:w="1087" w:type="dxa"/>
            <w:gridSpan w:val="2"/>
            <w:tcBorders>
              <w:bottom w:val="single" w:sz="4" w:space="0" w:color="auto"/>
            </w:tcBorders>
            <w:tcMar>
              <w:top w:w="15" w:type="dxa"/>
              <w:left w:w="180" w:type="dxa"/>
              <w:bottom w:w="15" w:type="dxa"/>
              <w:right w:w="0" w:type="dxa"/>
            </w:tcMar>
            <w:vAlign w:val="center"/>
            <w:hideMark/>
          </w:tcPr>
          <w:p w14:paraId="558693A6"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0,243</w:t>
            </w:r>
          </w:p>
        </w:tc>
        <w:tc>
          <w:tcPr>
            <w:tcW w:w="1416" w:type="dxa"/>
            <w:gridSpan w:val="2"/>
            <w:tcBorders>
              <w:bottom w:val="single" w:sz="4" w:space="0" w:color="auto"/>
            </w:tcBorders>
            <w:tcMar>
              <w:top w:w="15" w:type="dxa"/>
              <w:left w:w="180" w:type="dxa"/>
              <w:bottom w:w="15" w:type="dxa"/>
              <w:right w:w="0" w:type="dxa"/>
            </w:tcMar>
            <w:vAlign w:val="center"/>
            <w:hideMark/>
          </w:tcPr>
          <w:p w14:paraId="26DB396C"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0,243</w:t>
            </w:r>
          </w:p>
        </w:tc>
        <w:tc>
          <w:tcPr>
            <w:tcW w:w="849" w:type="dxa"/>
            <w:gridSpan w:val="2"/>
            <w:tcBorders>
              <w:bottom w:val="single" w:sz="4" w:space="0" w:color="auto"/>
            </w:tcBorders>
            <w:tcMar>
              <w:top w:w="15" w:type="dxa"/>
              <w:left w:w="180" w:type="dxa"/>
              <w:bottom w:w="15" w:type="dxa"/>
              <w:right w:w="0" w:type="dxa"/>
            </w:tcMar>
            <w:vAlign w:val="center"/>
            <w:hideMark/>
          </w:tcPr>
          <w:p w14:paraId="4336B036" w14:textId="77777777" w:rsidR="00801914" w:rsidRPr="00B342DA" w:rsidRDefault="00801914" w:rsidP="00FE5EED">
            <w:pPr>
              <w:jc w:val="center"/>
              <w:rPr>
                <w:rFonts w:ascii="Times New Roman" w:eastAsia="Times New Roman" w:hAnsi="Times New Roman"/>
                <w:color w:val="000000"/>
                <w:sz w:val="24"/>
                <w:szCs w:val="24"/>
              </w:rPr>
            </w:pPr>
            <w:r w:rsidRPr="00B342DA">
              <w:rPr>
                <w:rFonts w:ascii="Times New Roman" w:eastAsia="Times New Roman" w:hAnsi="Times New Roman"/>
                <w:color w:val="000000"/>
                <w:sz w:val="24"/>
                <w:szCs w:val="24"/>
              </w:rPr>
              <w:t>0,243</w:t>
            </w:r>
          </w:p>
        </w:tc>
      </w:tr>
    </w:tbl>
    <w:p w14:paraId="046E4B06" w14:textId="77777777" w:rsidR="00801914" w:rsidRPr="0088553E" w:rsidRDefault="00801914" w:rsidP="00801914">
      <w:pPr>
        <w:ind w:firstLine="1701"/>
        <w:jc w:val="both"/>
        <w:rPr>
          <w:rFonts w:ascii="Times New Roman" w:eastAsia="Times New Roman" w:hAnsi="Times New Roman"/>
          <w:sz w:val="20"/>
          <w:szCs w:val="20"/>
        </w:rPr>
      </w:pPr>
      <w:r w:rsidRPr="0088553E">
        <w:rPr>
          <w:rFonts w:ascii="Times New Roman" w:eastAsia="Times New Roman" w:hAnsi="Times New Roman"/>
          <w:i/>
          <w:sz w:val="20"/>
          <w:szCs w:val="20"/>
        </w:rPr>
        <w:t>Source</w:t>
      </w:r>
      <w:r w:rsidRPr="0088553E">
        <w:rPr>
          <w:rFonts w:ascii="Times New Roman" w:eastAsia="Times New Roman" w:hAnsi="Times New Roman"/>
          <w:sz w:val="20"/>
          <w:szCs w:val="20"/>
        </w:rPr>
        <w:t xml:space="preserve">: </w:t>
      </w:r>
      <w:r w:rsidRPr="0088553E">
        <w:rPr>
          <w:rFonts w:ascii="Times New Roman" w:hAnsi="Times New Roman"/>
          <w:i/>
          <w:sz w:val="20"/>
          <w:szCs w:val="20"/>
        </w:rPr>
        <w:t>Data Processed by the Researchers (2025)</w:t>
      </w:r>
    </w:p>
    <w:p w14:paraId="1640D476" w14:textId="77777777" w:rsidR="00801914" w:rsidRDefault="00801914" w:rsidP="00801914">
      <w:pPr>
        <w:spacing w:line="360" w:lineRule="auto"/>
        <w:ind w:firstLine="1701"/>
        <w:jc w:val="both"/>
        <w:rPr>
          <w:rFonts w:ascii="Times New Roman" w:eastAsia="Times New Roman" w:hAnsi="Times New Roman"/>
        </w:rPr>
      </w:pPr>
    </w:p>
    <w:p w14:paraId="1E29B814" w14:textId="77777777" w:rsidR="0088553E" w:rsidRPr="00857038" w:rsidRDefault="0088553E" w:rsidP="00801914">
      <w:pPr>
        <w:spacing w:line="360" w:lineRule="auto"/>
        <w:ind w:firstLine="1701"/>
        <w:jc w:val="both"/>
        <w:rPr>
          <w:rFonts w:ascii="Times New Roman" w:eastAsia="Times New Roman" w:hAnsi="Times New Roman"/>
        </w:rPr>
      </w:pPr>
    </w:p>
    <w:p w14:paraId="50237DF2" w14:textId="6743EFA8" w:rsidR="00801914" w:rsidRPr="00CC2177" w:rsidRDefault="00801914" w:rsidP="00801914">
      <w:pPr>
        <w:pStyle w:val="Heading4"/>
        <w:spacing w:before="0" w:after="0"/>
        <w:ind w:firstLine="720"/>
        <w:textAlignment w:val="center"/>
        <w:rPr>
          <w:rFonts w:ascii="Times New Roman" w:hAnsi="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705C89CF" wp14:editId="33B7410B">
                <wp:simplePos x="0" y="0"/>
                <wp:positionH relativeFrom="column">
                  <wp:posOffset>128270</wp:posOffset>
                </wp:positionH>
                <wp:positionV relativeFrom="paragraph">
                  <wp:posOffset>273685</wp:posOffset>
                </wp:positionV>
                <wp:extent cx="5391150" cy="1704975"/>
                <wp:effectExtent l="0" t="0" r="0" b="9525"/>
                <wp:wrapTopAndBottom/>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1150" cy="1704975"/>
                          <a:chOff x="0" y="0"/>
                          <a:chExt cx="5395850" cy="1597660"/>
                        </a:xfrm>
                      </wpg:grpSpPr>
                      <pic:pic xmlns:pic="http://schemas.openxmlformats.org/drawingml/2006/picture">
                        <pic:nvPicPr>
                          <pic:cNvPr id="1" name="Picture 1" descr="C:\Users\Windows 10\AppData\Local\JASP\temp\clipboard\resources\0\_0_t1219087181.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11875"/>
                            <a:ext cx="1736090" cy="1582420"/>
                          </a:xfrm>
                          <a:prstGeom prst="rect">
                            <a:avLst/>
                          </a:prstGeom>
                          <a:noFill/>
                          <a:ln>
                            <a:noFill/>
                          </a:ln>
                        </pic:spPr>
                      </pic:pic>
                      <pic:pic xmlns:pic="http://schemas.openxmlformats.org/drawingml/2006/picture">
                        <pic:nvPicPr>
                          <pic:cNvPr id="2" name="Picture 2" descr="C:\Users\Windows 10\AppData\Local\JASP\temp\clipboard\resources\0\_1_t1219087604.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864426" y="0"/>
                            <a:ext cx="1714500" cy="1597660"/>
                          </a:xfrm>
                          <a:prstGeom prst="rect">
                            <a:avLst/>
                          </a:prstGeom>
                          <a:noFill/>
                          <a:ln>
                            <a:noFill/>
                          </a:ln>
                        </pic:spPr>
                      </pic:pic>
                      <pic:pic xmlns:pic="http://schemas.openxmlformats.org/drawingml/2006/picture">
                        <pic:nvPicPr>
                          <pic:cNvPr id="3" name="Picture 3" descr="C:\Users\Windows 10\AppData\Local\JASP\temp\clipboard\resources\0\_2_t1219087909.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681350" y="0"/>
                            <a:ext cx="1714500" cy="15976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57C7B87" id="Group 3" o:spid="_x0000_s1026" style="position:absolute;margin-left:10.1pt;margin-top:21.55pt;width:424.5pt;height:134.25pt;z-index:251659264;mso-width-relative:margin;mso-height-relative:margin" coordsize="53958,15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18;width:17360;height:15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">
                  <v:imagedata r:id="rId10" o:title="_0_t1219087181"/>
                </v:shape>
                <v:shape id="Picture 2" o:spid="_x0000_s1028" type="#_x0000_t75" style="position:absolute;left:18644;width:17145;height:15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">
                  <v:imagedata r:id="rId11" o:title="_1_t1219087604"/>
                </v:shape>
                <v:shape id="Picture 3" o:spid="_x0000_s1029" type="#_x0000_t75" style="position:absolute;left:36813;width:17145;height:15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">
                  <v:imagedata r:id="rId12" o:title="_2_t1219087909"/>
                </v:shape>
                <w10:wrap type="topAndBottom"/>
              </v:group>
            </w:pict>
          </mc:Fallback>
        </mc:AlternateContent>
      </w:r>
      <w:r w:rsidRPr="00CC2177">
        <w:rPr>
          <w:rFonts w:ascii="Times New Roman" w:hAnsi="Times New Roman"/>
          <w:color w:val="000000"/>
          <w:sz w:val="24"/>
          <w:szCs w:val="24"/>
        </w:rPr>
        <w:t>Q-Q Plot FFT</w:t>
      </w:r>
      <w:r w:rsidRPr="00CC2177">
        <w:rPr>
          <w:rFonts w:ascii="Times New Roman" w:hAnsi="Times New Roman"/>
          <w:color w:val="000000"/>
          <w:sz w:val="24"/>
          <w:szCs w:val="24"/>
        </w:rPr>
        <w:tab/>
      </w:r>
      <w:r w:rsidRPr="00CC2177">
        <w:rPr>
          <w:rFonts w:ascii="Times New Roman" w:hAnsi="Times New Roman"/>
          <w:color w:val="000000"/>
          <w:sz w:val="24"/>
          <w:szCs w:val="24"/>
        </w:rPr>
        <w:tab/>
      </w:r>
      <w:r w:rsidRPr="00CC2177">
        <w:rPr>
          <w:rFonts w:ascii="Times New Roman" w:hAnsi="Times New Roman"/>
          <w:color w:val="000000"/>
          <w:sz w:val="24"/>
          <w:szCs w:val="24"/>
        </w:rPr>
        <w:tab/>
        <w:t>Q-Q Plot ILC</w:t>
      </w:r>
      <w:r w:rsidRPr="00CC2177">
        <w:rPr>
          <w:rFonts w:ascii="Times New Roman" w:hAnsi="Times New Roman"/>
          <w:color w:val="000000"/>
          <w:sz w:val="24"/>
          <w:szCs w:val="24"/>
        </w:rPr>
        <w:tab/>
      </w:r>
      <w:r w:rsidRPr="00CC2177">
        <w:rPr>
          <w:rFonts w:ascii="Times New Roman" w:hAnsi="Times New Roman"/>
          <w:color w:val="000000"/>
          <w:sz w:val="24"/>
          <w:szCs w:val="24"/>
        </w:rPr>
        <w:tab/>
      </w:r>
      <w:r w:rsidRPr="00CC2177">
        <w:rPr>
          <w:rFonts w:ascii="Times New Roman" w:hAnsi="Times New Roman"/>
          <w:color w:val="000000"/>
          <w:sz w:val="24"/>
          <w:szCs w:val="24"/>
        </w:rPr>
        <w:tab/>
      </w:r>
      <w:r>
        <w:rPr>
          <w:rFonts w:ascii="Times New Roman" w:hAnsi="Times New Roman"/>
          <w:color w:val="000000"/>
          <w:sz w:val="24"/>
          <w:szCs w:val="24"/>
        </w:rPr>
        <w:t xml:space="preserve">   </w:t>
      </w:r>
      <w:r w:rsidRPr="00CC2177">
        <w:rPr>
          <w:rFonts w:ascii="Times New Roman" w:hAnsi="Times New Roman"/>
          <w:color w:val="000000"/>
          <w:sz w:val="24"/>
          <w:szCs w:val="24"/>
        </w:rPr>
        <w:t>Q-Q Plot FB</w:t>
      </w:r>
    </w:p>
    <w:p w14:paraId="7CA386E6" w14:textId="77777777" w:rsidR="00801914" w:rsidRDefault="00801914" w:rsidP="00801914">
      <w:pPr>
        <w:jc w:val="center"/>
        <w:rPr>
          <w:rFonts w:ascii="Times New Roman" w:hAnsi="Times New Roman"/>
          <w:b/>
          <w:sz w:val="24"/>
          <w:szCs w:val="24"/>
        </w:rPr>
      </w:pPr>
    </w:p>
    <w:p w14:paraId="287B2B87" w14:textId="7E2F5FDE" w:rsidR="00801914" w:rsidRPr="0037520B" w:rsidRDefault="00801914" w:rsidP="004A05EF">
      <w:pPr>
        <w:jc w:val="center"/>
        <w:rPr>
          <w:rFonts w:ascii="Times New Roman" w:hAnsi="Times New Roman"/>
          <w:b/>
          <w:sz w:val="24"/>
          <w:szCs w:val="24"/>
        </w:rPr>
      </w:pPr>
      <w:r w:rsidRPr="0037520B">
        <w:rPr>
          <w:rFonts w:ascii="Times New Roman" w:hAnsi="Times New Roman"/>
          <w:b/>
          <w:sz w:val="24"/>
          <w:szCs w:val="24"/>
        </w:rPr>
        <w:t>Figure 1. Q-Q Plot Distribution</w:t>
      </w:r>
    </w:p>
    <w:p w14:paraId="1841AB31" w14:textId="0C909D18" w:rsidR="00801914" w:rsidRPr="00CC2177" w:rsidRDefault="004A05EF" w:rsidP="004A05EF">
      <w:pPr>
        <w:rPr>
          <w:rFonts w:ascii="Times New Roman" w:eastAsia="Times New Roman" w:hAnsi="Times New Roman"/>
        </w:rPr>
      </w:pPr>
      <w:r>
        <w:rPr>
          <w:rFonts w:ascii="Times New Roman" w:eastAsia="Times New Roman" w:hAnsi="Times New Roman"/>
          <w:i/>
          <w:sz w:val="20"/>
          <w:szCs w:val="20"/>
        </w:rPr>
        <w:t xml:space="preserve">                                                               </w:t>
      </w:r>
      <w:r w:rsidR="00801914" w:rsidRPr="0088553E">
        <w:rPr>
          <w:rFonts w:ascii="Times New Roman" w:eastAsia="Times New Roman" w:hAnsi="Times New Roman"/>
          <w:i/>
          <w:sz w:val="20"/>
          <w:szCs w:val="20"/>
        </w:rPr>
        <w:t>Source</w:t>
      </w:r>
      <w:r w:rsidR="00801914" w:rsidRPr="0088553E">
        <w:rPr>
          <w:rFonts w:ascii="Times New Roman" w:eastAsia="Times New Roman" w:hAnsi="Times New Roman"/>
          <w:sz w:val="20"/>
          <w:szCs w:val="20"/>
        </w:rPr>
        <w:t xml:space="preserve">: </w:t>
      </w:r>
      <w:r w:rsidR="00801914" w:rsidRPr="0088553E">
        <w:rPr>
          <w:rFonts w:ascii="Times New Roman" w:hAnsi="Times New Roman"/>
          <w:i/>
          <w:sz w:val="20"/>
          <w:szCs w:val="20"/>
        </w:rPr>
        <w:t>Output JASP (2025)</w:t>
      </w:r>
    </w:p>
    <w:p w14:paraId="2A5145C7" w14:textId="77777777" w:rsidR="00801914" w:rsidRDefault="00801914" w:rsidP="003F5113">
      <w:pPr>
        <w:spacing w:line="360" w:lineRule="auto"/>
        <w:jc w:val="both"/>
        <w:rPr>
          <w:rFonts w:ascii="Times New Roman" w:hAnsi="Times New Roman"/>
          <w:sz w:val="24"/>
          <w:szCs w:val="24"/>
        </w:rPr>
      </w:pPr>
    </w:p>
    <w:p w14:paraId="0AEEA801" w14:textId="77777777" w:rsidR="00801914" w:rsidRDefault="00801914" w:rsidP="00801914">
      <w:pPr>
        <w:spacing w:line="360" w:lineRule="auto"/>
        <w:ind w:firstLine="567"/>
        <w:jc w:val="both"/>
        <w:rPr>
          <w:rFonts w:ascii="Times New Roman" w:hAnsi="Times New Roman"/>
          <w:sz w:val="24"/>
          <w:szCs w:val="24"/>
        </w:rPr>
      </w:pPr>
      <w:r w:rsidRPr="00857038">
        <w:rPr>
          <w:rFonts w:ascii="Times New Roman" w:hAnsi="Times New Roman"/>
          <w:sz w:val="24"/>
          <w:szCs w:val="24"/>
        </w:rPr>
        <w:lastRenderedPageBreak/>
        <w:t>Prior to conducting inferential model validity testing, the data were assessed to examine their distribution.</w:t>
      </w:r>
      <w:r>
        <w:rPr>
          <w:rFonts w:ascii="Times New Roman" w:hAnsi="Times New Roman"/>
          <w:sz w:val="24"/>
          <w:szCs w:val="24"/>
        </w:rPr>
        <w:t xml:space="preserve"> Based on Table 2 and Figure 1, </w:t>
      </w:r>
      <w:r w:rsidRPr="009562D1">
        <w:rPr>
          <w:rFonts w:ascii="Times New Roman" w:hAnsi="Times New Roman"/>
          <w:sz w:val="24"/>
          <w:szCs w:val="24"/>
        </w:rPr>
        <w:t xml:space="preserve">it can be seen that </w:t>
      </w:r>
      <w:r w:rsidRPr="00857038">
        <w:rPr>
          <w:rFonts w:ascii="Times New Roman" w:hAnsi="Times New Roman"/>
          <w:sz w:val="24"/>
          <w:szCs w:val="24"/>
        </w:rPr>
        <w:t>the data distribution was found to be normal. In addition to the Q–Q plot inspection, the calculated Z-skewness values for FFT, ILC, and FB were −1.38, 0.09, and 0.76, respectively, all of which fall within the acceptable range of −1.96 to +1.96. Similarly, the Z-kurtosis values for FFT, ILC, and FB were −1.08, 0.08, and −1.41, respectively, also within the acceptable range of −1.96 to +1.96.</w:t>
      </w:r>
    </w:p>
    <w:p w14:paraId="00AFF77F" w14:textId="77777777" w:rsidR="00801914" w:rsidRDefault="00801914" w:rsidP="00801914">
      <w:pPr>
        <w:ind w:firstLine="425"/>
        <w:jc w:val="both"/>
        <w:rPr>
          <w:rFonts w:ascii="Times New Roman" w:eastAsia="Times New Roman" w:hAnsi="Times New Roman"/>
        </w:rPr>
      </w:pPr>
    </w:p>
    <w:p w14:paraId="79B68166" w14:textId="77777777" w:rsidR="00801914" w:rsidRPr="00CC2177" w:rsidRDefault="00801914" w:rsidP="00801914">
      <w:pPr>
        <w:jc w:val="center"/>
        <w:rPr>
          <w:rFonts w:ascii="Times New Roman" w:hAnsi="Times New Roman"/>
          <w:b/>
          <w:sz w:val="24"/>
          <w:szCs w:val="24"/>
        </w:rPr>
      </w:pPr>
      <w:r w:rsidRPr="00CC2177">
        <w:rPr>
          <w:rFonts w:ascii="Times New Roman" w:hAnsi="Times New Roman"/>
          <w:b/>
          <w:sz w:val="24"/>
          <w:szCs w:val="24"/>
        </w:rPr>
        <w:t xml:space="preserve">Table 3. </w:t>
      </w:r>
      <w:proofErr w:type="spellStart"/>
      <w:r w:rsidRPr="00CC2177">
        <w:rPr>
          <w:rFonts w:ascii="Times New Roman" w:hAnsi="Times New Roman"/>
          <w:b/>
          <w:sz w:val="24"/>
          <w:szCs w:val="24"/>
        </w:rPr>
        <w:t>Reliabilty</w:t>
      </w:r>
      <w:proofErr w:type="spellEnd"/>
      <w:r w:rsidRPr="00CC2177">
        <w:rPr>
          <w:rFonts w:ascii="Times New Roman" w:hAnsi="Times New Roman"/>
          <w:b/>
          <w:sz w:val="24"/>
          <w:szCs w:val="24"/>
        </w:rPr>
        <w:t xml:space="preserve"> Test</w:t>
      </w:r>
    </w:p>
    <w:tbl>
      <w:tblPr>
        <w:tblW w:w="4678" w:type="dxa"/>
        <w:jc w:val="center"/>
        <w:tblLook w:val="04A0" w:firstRow="1" w:lastRow="0" w:firstColumn="1" w:lastColumn="0" w:noHBand="0" w:noVBand="1"/>
      </w:tblPr>
      <w:tblGrid>
        <w:gridCol w:w="1692"/>
        <w:gridCol w:w="2986"/>
      </w:tblGrid>
      <w:tr w:rsidR="00801914" w:rsidRPr="00B342DA" w14:paraId="3F76FDF3" w14:textId="77777777" w:rsidTr="00801914">
        <w:trPr>
          <w:trHeight w:val="503"/>
          <w:jc w:val="center"/>
        </w:trPr>
        <w:tc>
          <w:tcPr>
            <w:tcW w:w="1692" w:type="dxa"/>
            <w:tcBorders>
              <w:top w:val="single" w:sz="4" w:space="0" w:color="auto"/>
              <w:bottom w:val="single" w:sz="4" w:space="0" w:color="auto"/>
            </w:tcBorders>
            <w:vAlign w:val="center"/>
            <w:hideMark/>
          </w:tcPr>
          <w:p w14:paraId="698F2415"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Variable</w:t>
            </w:r>
          </w:p>
        </w:tc>
        <w:tc>
          <w:tcPr>
            <w:tcW w:w="2986" w:type="dxa"/>
            <w:tcBorders>
              <w:top w:val="single" w:sz="4" w:space="0" w:color="auto"/>
              <w:bottom w:val="single" w:sz="4" w:space="0" w:color="auto"/>
            </w:tcBorders>
            <w:vAlign w:val="center"/>
            <w:hideMark/>
          </w:tcPr>
          <w:p w14:paraId="336832F0" w14:textId="77777777" w:rsidR="00801914" w:rsidRPr="00CC2177" w:rsidRDefault="00801914" w:rsidP="00FE5EED">
            <w:pPr>
              <w:ind w:right="-177"/>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Cronhbach Alpha’s</w:t>
            </w:r>
          </w:p>
        </w:tc>
      </w:tr>
      <w:tr w:rsidR="00801914" w:rsidRPr="00B342DA" w14:paraId="4302D2A5" w14:textId="77777777" w:rsidTr="00801914">
        <w:trPr>
          <w:trHeight w:val="490"/>
          <w:jc w:val="center"/>
        </w:trPr>
        <w:tc>
          <w:tcPr>
            <w:tcW w:w="1692" w:type="dxa"/>
            <w:tcBorders>
              <w:top w:val="single" w:sz="4" w:space="0" w:color="auto"/>
            </w:tcBorders>
            <w:vAlign w:val="center"/>
            <w:hideMark/>
          </w:tcPr>
          <w:p w14:paraId="52F9282C"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FFT</w:t>
            </w:r>
          </w:p>
        </w:tc>
        <w:tc>
          <w:tcPr>
            <w:tcW w:w="2986" w:type="dxa"/>
            <w:tcBorders>
              <w:top w:val="single" w:sz="4" w:space="0" w:color="auto"/>
            </w:tcBorders>
            <w:vAlign w:val="center"/>
            <w:hideMark/>
          </w:tcPr>
          <w:p w14:paraId="3B86F21B"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0,878</w:t>
            </w:r>
          </w:p>
        </w:tc>
      </w:tr>
      <w:tr w:rsidR="00801914" w:rsidRPr="00B342DA" w14:paraId="493381F4" w14:textId="77777777" w:rsidTr="00801914">
        <w:trPr>
          <w:trHeight w:val="490"/>
          <w:jc w:val="center"/>
        </w:trPr>
        <w:tc>
          <w:tcPr>
            <w:tcW w:w="1692" w:type="dxa"/>
            <w:vAlign w:val="center"/>
            <w:hideMark/>
          </w:tcPr>
          <w:p w14:paraId="5E57DFCD"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ILC</w:t>
            </w:r>
          </w:p>
        </w:tc>
        <w:tc>
          <w:tcPr>
            <w:tcW w:w="2986" w:type="dxa"/>
            <w:vAlign w:val="center"/>
            <w:hideMark/>
          </w:tcPr>
          <w:p w14:paraId="6C31AFD5"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0,808</w:t>
            </w:r>
          </w:p>
        </w:tc>
      </w:tr>
      <w:tr w:rsidR="00801914" w:rsidRPr="00B342DA" w14:paraId="644C35A2" w14:textId="77777777" w:rsidTr="00801914">
        <w:trPr>
          <w:trHeight w:val="490"/>
          <w:jc w:val="center"/>
        </w:trPr>
        <w:tc>
          <w:tcPr>
            <w:tcW w:w="1692" w:type="dxa"/>
            <w:tcBorders>
              <w:bottom w:val="single" w:sz="4" w:space="0" w:color="auto"/>
            </w:tcBorders>
            <w:vAlign w:val="center"/>
            <w:hideMark/>
          </w:tcPr>
          <w:p w14:paraId="580D45FB"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FB</w:t>
            </w:r>
          </w:p>
        </w:tc>
        <w:tc>
          <w:tcPr>
            <w:tcW w:w="2986" w:type="dxa"/>
            <w:tcBorders>
              <w:bottom w:val="single" w:sz="4" w:space="0" w:color="auto"/>
            </w:tcBorders>
            <w:vAlign w:val="center"/>
            <w:hideMark/>
          </w:tcPr>
          <w:p w14:paraId="10428DF2" w14:textId="77777777" w:rsidR="00801914" w:rsidRPr="00CC2177" w:rsidRDefault="00801914" w:rsidP="00FE5EED">
            <w:pPr>
              <w:jc w:val="center"/>
              <w:rPr>
                <w:rFonts w:ascii="Times New Roman" w:eastAsia="Times New Roman" w:hAnsi="Times New Roman"/>
                <w:color w:val="000000"/>
                <w:sz w:val="24"/>
                <w:szCs w:val="24"/>
              </w:rPr>
            </w:pPr>
            <w:r w:rsidRPr="00CC2177">
              <w:rPr>
                <w:rFonts w:ascii="Times New Roman" w:eastAsia="Times New Roman" w:hAnsi="Times New Roman"/>
                <w:color w:val="000000"/>
                <w:sz w:val="24"/>
                <w:szCs w:val="24"/>
              </w:rPr>
              <w:t>0,770</w:t>
            </w:r>
          </w:p>
        </w:tc>
      </w:tr>
    </w:tbl>
    <w:p w14:paraId="5AB274F2" w14:textId="612A3D93" w:rsidR="00801914" w:rsidRPr="0088553E" w:rsidRDefault="0088553E" w:rsidP="0088553E">
      <w:pPr>
        <w:rPr>
          <w:rFonts w:ascii="Times New Roman" w:eastAsia="Times New Roman" w:hAnsi="Times New Roman"/>
          <w:sz w:val="20"/>
          <w:szCs w:val="20"/>
        </w:rPr>
      </w:pPr>
      <w:r>
        <w:rPr>
          <w:rFonts w:ascii="Times New Roman" w:eastAsia="Times New Roman" w:hAnsi="Times New Roman"/>
          <w:i/>
        </w:rPr>
        <w:t xml:space="preserve">                                       </w:t>
      </w:r>
      <w:r w:rsidR="00801914" w:rsidRPr="0088553E">
        <w:rPr>
          <w:rFonts w:ascii="Times New Roman" w:eastAsia="Times New Roman" w:hAnsi="Times New Roman"/>
          <w:i/>
          <w:sz w:val="20"/>
          <w:szCs w:val="20"/>
        </w:rPr>
        <w:t>Source</w:t>
      </w:r>
      <w:r w:rsidR="00801914" w:rsidRPr="0088553E">
        <w:rPr>
          <w:rFonts w:ascii="Times New Roman" w:eastAsia="Times New Roman" w:hAnsi="Times New Roman"/>
          <w:sz w:val="20"/>
          <w:szCs w:val="20"/>
        </w:rPr>
        <w:t xml:space="preserve">: </w:t>
      </w:r>
      <w:r w:rsidR="00801914" w:rsidRPr="0088553E">
        <w:rPr>
          <w:rFonts w:ascii="Times New Roman" w:hAnsi="Times New Roman"/>
          <w:i/>
          <w:sz w:val="20"/>
          <w:szCs w:val="20"/>
        </w:rPr>
        <w:t>Data Processed by the Researchers (2025)</w:t>
      </w:r>
    </w:p>
    <w:p w14:paraId="0B3D53BD" w14:textId="77777777" w:rsidR="00801914" w:rsidRDefault="00801914" w:rsidP="00801914">
      <w:pPr>
        <w:ind w:firstLine="425"/>
        <w:jc w:val="both"/>
        <w:rPr>
          <w:rFonts w:ascii="Times New Roman" w:eastAsia="Times New Roman" w:hAnsi="Times New Roman"/>
          <w:sz w:val="24"/>
          <w:szCs w:val="24"/>
        </w:rPr>
      </w:pPr>
    </w:p>
    <w:p w14:paraId="4AC23BBF" w14:textId="77777777" w:rsidR="00801914" w:rsidRDefault="00801914" w:rsidP="00801914">
      <w:pPr>
        <w:spacing w:line="360" w:lineRule="auto"/>
        <w:ind w:firstLine="567"/>
        <w:jc w:val="both"/>
        <w:rPr>
          <w:rFonts w:ascii="Times New Roman" w:hAnsi="Times New Roman"/>
          <w:sz w:val="24"/>
          <w:szCs w:val="24"/>
        </w:rPr>
      </w:pPr>
      <w:r w:rsidRPr="00857038">
        <w:rPr>
          <w:rFonts w:ascii="Times New Roman" w:hAnsi="Times New Roman"/>
          <w:sz w:val="24"/>
          <w:szCs w:val="24"/>
        </w:rPr>
        <w:t>Prior to conducting inferential model validity testing, the data were assessed to examine their distribution.</w:t>
      </w:r>
      <w:r>
        <w:rPr>
          <w:rFonts w:ascii="Times New Roman" w:hAnsi="Times New Roman"/>
          <w:sz w:val="24"/>
          <w:szCs w:val="24"/>
        </w:rPr>
        <w:t xml:space="preserve"> Based on Table 2 and Figure 1, </w:t>
      </w:r>
      <w:r w:rsidRPr="009562D1">
        <w:rPr>
          <w:rFonts w:ascii="Times New Roman" w:hAnsi="Times New Roman"/>
          <w:sz w:val="24"/>
          <w:szCs w:val="24"/>
        </w:rPr>
        <w:t xml:space="preserve">it can be seen that </w:t>
      </w:r>
      <w:r w:rsidRPr="00857038">
        <w:rPr>
          <w:rFonts w:ascii="Times New Roman" w:hAnsi="Times New Roman"/>
          <w:sz w:val="24"/>
          <w:szCs w:val="24"/>
        </w:rPr>
        <w:t>the data distribution was found to be normal. In addition to the Q–Q plot inspection, the calculated Z-skewness values for FFT, ILC, and FB were −1.38, 0.09, and 0.76, respectively, all of which fall within the acceptable range of −1.96 to +1.96. Similarly, the Z-kurtosis values for FFT, ILC, and FB were −1.08, 0.08, and −1.41, respectively, also within the acceptable range of −1.96 to +1.96.</w:t>
      </w:r>
    </w:p>
    <w:p w14:paraId="187AF02C" w14:textId="77777777" w:rsidR="00801914" w:rsidRDefault="00801914" w:rsidP="00801914">
      <w:pPr>
        <w:pStyle w:val="NormalWeb"/>
        <w:spacing w:before="0" w:beforeAutospacing="0" w:after="0" w:afterAutospacing="0" w:line="360" w:lineRule="auto"/>
        <w:ind w:firstLine="567"/>
        <w:jc w:val="both"/>
      </w:pPr>
      <w:r w:rsidRPr="00692849">
        <w:t>The item–total correlation values for t</w:t>
      </w:r>
      <w:r>
        <w:t xml:space="preserve">he 34 items ranged from 0.529 </w:t>
      </w:r>
      <w:r>
        <w:rPr>
          <w:lang w:val="en-US"/>
        </w:rPr>
        <w:t>-</w:t>
      </w:r>
      <w:r w:rsidRPr="00692849">
        <w:t xml:space="preserve"> 0.746, exceeding the minimum threshold of ≥0.50, indicating that the items demonstrate satisfactory quality and contribute meaningfully to their respective factors or components. As presented in Table </w:t>
      </w:r>
      <w:r>
        <w:rPr>
          <w:lang w:val="en-US"/>
        </w:rPr>
        <w:t>3</w:t>
      </w:r>
      <w:r w:rsidRPr="00692849">
        <w:t xml:space="preserve">, Cronbach’s alpha coefficients for FFT, ILC, and FB were 0.878, 0.808, and 0.770, </w:t>
      </w:r>
      <w:r w:rsidRPr="00E67EDF">
        <w:t xml:space="preserve">which is </w:t>
      </w:r>
      <w:r w:rsidRPr="00692849">
        <w:t>exceeding the commonly accepted reliability threshold of &gt;0.70</w:t>
      </w:r>
      <w:r w:rsidRPr="00692849">
        <w:rPr>
          <w:lang w:val="en-US"/>
        </w:rPr>
        <w:t xml:space="preserve"> </w:t>
      </w:r>
      <w:r w:rsidRPr="00692849">
        <w:rPr>
          <w:lang w:val="en-US"/>
        </w:rPr>
        <w:fldChar w:fldCharType="begin" w:fldLock="1"/>
      </w:r>
      <w:r w:rsidRPr="00692849">
        <w:rPr>
          <w:lang w:val="en-US"/>
        </w:rPr>
        <w:instrText>ADDIN CSL_CITATION {"citationItems":[{"id":"ITEM-1","itemData":{"author":[{"dropping-particle":"","family":"Sugiyono","given":"","non-dropping-particle":"","parse-names":false,"suffix":""}],"edition":"Cetakan ke","id":"ITEM-1","issued":{"date-parts":[["2022"]]},"number-of-pages":"546","publisher":"Alfabeta","publisher-place":"Bandung","title":"Metode Penelitian Kuantitatif","type":"book"},"uris":["http://www.mendeley.com/documents/?uuid=524350a7-25cb-4c20-b076-06ba8997c657"]}],"mendeley":{"formattedCitation":"(Sugiyono, 2022)","plainTextFormattedCitation":"(Sugiyono, 2022)","previouslyFormattedCitation":"(Sugiyono, 2022)"},"properties":{"noteIndex":0},"schema":"https://github.com/citation-style-language/schema/raw/master/csl-citation.json"}</w:instrText>
      </w:r>
      <w:r w:rsidRPr="00692849">
        <w:rPr>
          <w:lang w:val="en-US"/>
        </w:rPr>
        <w:fldChar w:fldCharType="separate"/>
      </w:r>
      <w:r w:rsidRPr="00692849">
        <w:rPr>
          <w:noProof/>
          <w:lang w:val="en-US"/>
        </w:rPr>
        <w:t>(Sugiyono, 2022)</w:t>
      </w:r>
      <w:r w:rsidRPr="00692849">
        <w:rPr>
          <w:lang w:val="en-US"/>
        </w:rPr>
        <w:fldChar w:fldCharType="end"/>
      </w:r>
      <w:r>
        <w:rPr>
          <w:lang w:val="en-US"/>
        </w:rPr>
        <w:t xml:space="preserve">, </w:t>
      </w:r>
      <w:r>
        <w:t>thereby confirming the reliability of the measurement instruments.</w:t>
      </w:r>
      <w:r w:rsidRPr="00692849">
        <w:t xml:space="preserve"> </w:t>
      </w:r>
    </w:p>
    <w:p w14:paraId="3F5C7D09" w14:textId="77777777" w:rsidR="00801914" w:rsidRDefault="00801914" w:rsidP="00801914">
      <w:pPr>
        <w:pStyle w:val="NormalWeb"/>
        <w:spacing w:before="0" w:beforeAutospacing="0" w:after="0" w:afterAutospacing="0" w:line="360" w:lineRule="auto"/>
        <w:ind w:firstLine="567"/>
        <w:jc w:val="both"/>
        <w:rPr>
          <w:lang w:val="en-US"/>
        </w:rPr>
      </w:pPr>
      <w:r w:rsidRPr="00692849">
        <w:t xml:space="preserve">Linearity testing was </w:t>
      </w:r>
      <w:r w:rsidRPr="00E67EDF">
        <w:t xml:space="preserve">measured </w:t>
      </w:r>
      <w:r w:rsidRPr="00692849">
        <w:t xml:space="preserve">by examining the scatterplot of </w:t>
      </w:r>
      <w:r w:rsidRPr="00E67EDF">
        <w:rPr>
          <w:i/>
        </w:rPr>
        <w:t>residuals versus predicted</w:t>
      </w:r>
      <w:r w:rsidRPr="00692849">
        <w:t xml:space="preserve"> values (Figure 2). The results indicated that the residual points were randomly and symmetrically distributed around the horizontal zero line, with no discernible curvilinear pattern. </w:t>
      </w:r>
      <w:r w:rsidRPr="00E67EDF">
        <w:t xml:space="preserve">This indicates that the </w:t>
      </w:r>
      <w:r>
        <w:rPr>
          <w:lang w:val="en-US"/>
        </w:rPr>
        <w:t xml:space="preserve">liner </w:t>
      </w:r>
      <w:r w:rsidRPr="00692849">
        <w:t xml:space="preserve">relationship between the independent and dependent variables, thereby fulfilling the assumption of linearity. According to </w:t>
      </w:r>
      <w:r w:rsidRPr="00692849">
        <w:fldChar w:fldCharType="begin" w:fldLock="1"/>
      </w:r>
      <w:r w:rsidRPr="00692849">
        <w:instrText>ADDIN CSL_CITATION {"citationItems":[{"id":"ITEM-1","itemData":{"DOI":"10.1016/j.lrp.2013.01.002","ISSN":"00246301","abstract":"A Primer on Partial Least Squares Structural Equation Modeling (PLS-SEM), by Hair, Hult, Ringle, and Sarstedt, provides a concise yet very practical guide to understanding and using PLS structural equation modeling (PLS-SEM). PLS-SEM is evolving as a statistical modeling technique and its use has increased exponentially in recent years within a variety of disciplines, due to the recognition that PLS-SEM’s distinctive methodological features make it a viable alternative to the more popular covariance-based SEM approach. This text—the only comprehensive book available to explain the fundamental aspects of the method—includes extensive examples on SmartPLS software, and is accompanied by multiple data sets that are available for download from the accompanying website (www.pls-sem.com).","author":[{"dropping-particle":"","family":"Hair","given":"Joseph Franklin","non-dropping-particle":"","parse-names":false,"suffix":""},{"dropping-particle":"","family":"Hult","given":"G. Tomas M","non-dropping-particle":"","parse-names":false,"suffix":""},{"dropping-particle":"","family":"Ringle","given":"Christian M","non-dropping-particle":"","parse-names":false,"suffix":""},{"dropping-particle":"","family":"Sarstedt","given":"Marko","non-dropping-particle":"","parse-names":false,"suffix":""}],"container-title":"Sage Publication","id":"ITEM-1","issue":"1-2","issued":{"date-parts":[["2022"]]},"publisher":"Sage Publication","title":"A Primer on Partial Least Squares Structural Equation Modeling","type":"book"},"uris":["http://www.mendeley.com/documents/?uuid=1ce0cd11-c1e7-44dc-95ff-da4eee481219"]}],"mendeley":{"formattedCitation":"(Hair et al., 2022)","manualFormatting":"Hair et al. (2022)","plainTextFormattedCitation":"(Hair et al., 2022)","previouslyFormattedCitation":"(Hair et al., 2022)"},"properties":{"noteIndex":0},"schema":"https://github.com/citation-style-language/schema/raw/master/csl-citation.json"}</w:instrText>
      </w:r>
      <w:r w:rsidRPr="00692849">
        <w:fldChar w:fldCharType="separate"/>
      </w:r>
      <w:r w:rsidRPr="00692849">
        <w:rPr>
          <w:noProof/>
        </w:rPr>
        <w:t xml:space="preserve">Hair et al. </w:t>
      </w:r>
      <w:r w:rsidRPr="00692849">
        <w:rPr>
          <w:noProof/>
          <w:lang w:val="en-US"/>
        </w:rPr>
        <w:t>(</w:t>
      </w:r>
      <w:r w:rsidRPr="00692849">
        <w:rPr>
          <w:noProof/>
        </w:rPr>
        <w:t>2022)</w:t>
      </w:r>
      <w:r w:rsidRPr="00692849">
        <w:fldChar w:fldCharType="end"/>
      </w:r>
      <w:r>
        <w:rPr>
          <w:lang w:val="en-US"/>
        </w:rPr>
        <w:t>,</w:t>
      </w:r>
      <w:r w:rsidRPr="00692849">
        <w:rPr>
          <w:lang w:val="en-US"/>
        </w:rPr>
        <w:t xml:space="preserve"> </w:t>
      </w:r>
      <w:r w:rsidRPr="00692849">
        <w:t xml:space="preserve">linearity is assumed to be met when residuals are randomly </w:t>
      </w:r>
      <w:r>
        <w:rPr>
          <w:lang w:val="en-US"/>
        </w:rPr>
        <w:t xml:space="preserve">scattered </w:t>
      </w:r>
      <w:r w:rsidRPr="00692849">
        <w:t xml:space="preserve">around the zero line without forming systematic patterns. Furthermore, the residual points were evenly distributed across the range of predicted values without exhibiting a narrowing (funnel-in) or widening </w:t>
      </w:r>
      <w:r w:rsidRPr="00692849">
        <w:lastRenderedPageBreak/>
        <w:t xml:space="preserve">(funnel-out) pattern, indicating constant residual variance and thus satisfying the assumption of homoscedasticity. Conversely, if the residual pattern were to form a funnel or fan shape, heteroscedasticity could be present, potentially rendering the regression coefficient estimates inefficient </w:t>
      </w:r>
      <w:r w:rsidRPr="00692849">
        <w:fldChar w:fldCharType="begin" w:fldLock="1"/>
      </w:r>
      <w:r w:rsidRPr="00692849">
        <w:instrText>ADDIN CSL_CITATION {"citationItems":[{"id":"ITEM-1","itemData":{"author":[{"dropping-particle":"","family":"Montgomery","given":"Douglas C","non-dropping-particle":"","parse-names":false,"suffix":""},{"dropping-particle":"","family":"Peck","given":"Elizabeth A","non-dropping-particle":"","parse-names":false,"suffix":""},{"dropping-particle":"","family":"Vining","given":"G. Geoffrey","non-dropping-particle":"","parse-names":false,"suffix":""}],"edition":"6th ed","id":"ITEM-1","issued":{"date-parts":[["2021"]]},"publisher":"John Wiley &amp; Son","title":"Introduction to Linear Regression Analysis","type":"book"},"uris":["http://www.mendeley.com/documents/?uuid=4bc7dba2-7973-4ecc-ba3f-b8a89c1e7955"]}],"mendeley":{"formattedCitation":"(Montgomery et al., 2021)","plainTextFormattedCitation":"(Montgomery et al., 2021)","previouslyFormattedCitation":"(Montgomery et al., 2021)"},"properties":{"noteIndex":0},"schema":"https://github.com/citation-style-language/schema/raw/master/csl-citation.json"}</w:instrText>
      </w:r>
      <w:r w:rsidRPr="00692849">
        <w:fldChar w:fldCharType="separate"/>
      </w:r>
      <w:r w:rsidRPr="00692849">
        <w:rPr>
          <w:noProof/>
        </w:rPr>
        <w:t>(Montgomery et al., 2021)</w:t>
      </w:r>
      <w:r w:rsidRPr="00692849">
        <w:fldChar w:fldCharType="end"/>
      </w:r>
      <w:r w:rsidRPr="00692849">
        <w:rPr>
          <w:lang w:val="en-US"/>
        </w:rPr>
        <w:t>.</w:t>
      </w:r>
    </w:p>
    <w:p w14:paraId="4EE701BA" w14:textId="77777777" w:rsidR="00801914" w:rsidRDefault="00801914" w:rsidP="00801914">
      <w:pPr>
        <w:pStyle w:val="NormalWeb"/>
        <w:spacing w:before="0" w:beforeAutospacing="0" w:after="0" w:afterAutospacing="0" w:line="360" w:lineRule="auto"/>
        <w:ind w:firstLine="567"/>
        <w:jc w:val="both"/>
        <w:rPr>
          <w:lang w:val="en-US"/>
        </w:rPr>
      </w:pPr>
    </w:p>
    <w:p w14:paraId="5A358CD2" w14:textId="34FDAEF9" w:rsidR="00801914" w:rsidRPr="00692849" w:rsidRDefault="00801914" w:rsidP="00801914">
      <w:pPr>
        <w:jc w:val="center"/>
        <w:rPr>
          <w:noProof/>
        </w:rPr>
      </w:pPr>
      <w:r w:rsidRPr="00B342DA">
        <w:rPr>
          <w:noProof/>
        </w:rPr>
        <w:drawing>
          <wp:inline distT="0" distB="0" distL="0" distR="0" wp14:anchorId="291FBEF0" wp14:editId="74C9375D">
            <wp:extent cx="3263900" cy="2088515"/>
            <wp:effectExtent l="0" t="0" r="0" b="6985"/>
            <wp:docPr id="490116771" name="Picture 2" descr="C:\Users\HP\AppData\Local\JASP\temp\clipboard\resources\2\_0_t-9988550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ppData\Local\JASP\temp\clipboard\resources\2\_0_t-99885507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07613" cy="2116486"/>
                    </a:xfrm>
                    <a:prstGeom prst="rect">
                      <a:avLst/>
                    </a:prstGeom>
                    <a:noFill/>
                    <a:ln>
                      <a:noFill/>
                    </a:ln>
                  </pic:spPr>
                </pic:pic>
              </a:graphicData>
            </a:graphic>
          </wp:inline>
        </w:drawing>
      </w:r>
    </w:p>
    <w:p w14:paraId="53684A3A" w14:textId="7FEB6AD6" w:rsidR="00801914" w:rsidRPr="0037520B" w:rsidRDefault="00801914" w:rsidP="0037520B">
      <w:pPr>
        <w:jc w:val="center"/>
        <w:rPr>
          <w:rFonts w:ascii="Times New Roman" w:hAnsi="Times New Roman"/>
          <w:b/>
          <w:sz w:val="24"/>
          <w:szCs w:val="24"/>
        </w:rPr>
      </w:pPr>
      <w:r w:rsidRPr="0037520B">
        <w:rPr>
          <w:rFonts w:ascii="Times New Roman" w:eastAsia="Times New Roman" w:hAnsi="Times New Roman"/>
          <w:b/>
          <w:sz w:val="24"/>
          <w:szCs w:val="24"/>
        </w:rPr>
        <w:t xml:space="preserve">Figure 2. </w:t>
      </w:r>
      <w:r w:rsidRPr="0037520B">
        <w:rPr>
          <w:rFonts w:ascii="Times New Roman" w:hAnsi="Times New Roman"/>
          <w:b/>
          <w:color w:val="000000"/>
          <w:sz w:val="24"/>
          <w:szCs w:val="24"/>
        </w:rPr>
        <w:t>Plot Residual vs Predicted Values</w:t>
      </w:r>
    </w:p>
    <w:p w14:paraId="62F46929" w14:textId="7F3291CA" w:rsidR="00801914" w:rsidRPr="00564927" w:rsidRDefault="00C523E5" w:rsidP="00C523E5">
      <w:pPr>
        <w:rPr>
          <w:rFonts w:ascii="Times New Roman" w:hAnsi="Times New Roman"/>
          <w:i/>
        </w:rPr>
      </w:pPr>
      <w:r w:rsidRPr="00C523E5">
        <w:rPr>
          <w:rFonts w:ascii="Times New Roman" w:hAnsi="Times New Roman"/>
          <w:i/>
          <w:sz w:val="20"/>
          <w:szCs w:val="20"/>
        </w:rPr>
        <w:t xml:space="preserve">                                               </w:t>
      </w:r>
      <w:r w:rsidR="00801914" w:rsidRPr="00C523E5">
        <w:rPr>
          <w:rFonts w:ascii="Times New Roman" w:hAnsi="Times New Roman"/>
          <w:i/>
          <w:sz w:val="20"/>
          <w:szCs w:val="20"/>
        </w:rPr>
        <w:t>Source: Output JASP (2025)</w:t>
      </w:r>
    </w:p>
    <w:p w14:paraId="55733EC8" w14:textId="77777777" w:rsidR="00801914" w:rsidRDefault="00801914" w:rsidP="00801914">
      <w:pPr>
        <w:pStyle w:val="NormalWeb"/>
        <w:spacing w:before="0" w:beforeAutospacing="0" w:after="0" w:afterAutospacing="0"/>
        <w:ind w:firstLine="567"/>
        <w:jc w:val="both"/>
        <w:rPr>
          <w:lang w:val="en-US"/>
        </w:rPr>
      </w:pPr>
    </w:p>
    <w:p w14:paraId="413C6648" w14:textId="77777777" w:rsidR="00801914" w:rsidRDefault="00801914" w:rsidP="00801914">
      <w:pPr>
        <w:pStyle w:val="NormalWeb"/>
        <w:spacing w:before="0" w:beforeAutospacing="0" w:after="0" w:afterAutospacing="0" w:line="360" w:lineRule="auto"/>
        <w:ind w:firstLine="567"/>
        <w:jc w:val="both"/>
        <w:rPr>
          <w:lang w:val="en-US"/>
        </w:rPr>
      </w:pPr>
      <w:r w:rsidRPr="00692849">
        <w:rPr>
          <w:lang w:val="en-US"/>
        </w:rPr>
        <w:t xml:space="preserve">Multicollinearity testing, using tolerance and Variance Inflation Factor (VIF) values, showed that both independent variables had tolerance values of 0.920 and VIF values of 1.087. Given that the tolerance values were greater than 0.10 and the VIF values were less than 10, it can be concluded that </w:t>
      </w:r>
      <w:r w:rsidRPr="00E67EDF">
        <w:rPr>
          <w:lang w:val="en-US"/>
        </w:rPr>
        <w:t>there is no multicollinearity between the independent variables in this regression model</w:t>
      </w:r>
      <w:r w:rsidRPr="00692849">
        <w:rPr>
          <w:lang w:val="en-US"/>
        </w:rPr>
        <w:t>.</w:t>
      </w:r>
    </w:p>
    <w:p w14:paraId="452CBA03" w14:textId="77777777" w:rsidR="00801914" w:rsidRPr="00564927" w:rsidRDefault="00801914" w:rsidP="00801914">
      <w:pPr>
        <w:jc w:val="center"/>
        <w:rPr>
          <w:rFonts w:ascii="Times New Roman" w:hAnsi="Times New Roman"/>
          <w:b/>
          <w:sz w:val="24"/>
          <w:szCs w:val="24"/>
        </w:rPr>
      </w:pPr>
      <w:r w:rsidRPr="00564927">
        <w:rPr>
          <w:rFonts w:ascii="Times New Roman" w:hAnsi="Times New Roman"/>
          <w:b/>
          <w:sz w:val="24"/>
          <w:szCs w:val="24"/>
        </w:rPr>
        <w:t xml:space="preserve">Table </w:t>
      </w:r>
      <w:r>
        <w:rPr>
          <w:rFonts w:ascii="Times New Roman" w:hAnsi="Times New Roman"/>
          <w:b/>
          <w:sz w:val="24"/>
          <w:szCs w:val="24"/>
        </w:rPr>
        <w:t>4</w:t>
      </w:r>
      <w:r w:rsidRPr="00564927">
        <w:rPr>
          <w:rFonts w:ascii="Times New Roman" w:hAnsi="Times New Roman"/>
          <w:b/>
          <w:sz w:val="24"/>
          <w:szCs w:val="24"/>
        </w:rPr>
        <w:t>. Multiple Regression Analysis Test</w:t>
      </w:r>
    </w:p>
    <w:tbl>
      <w:tblPr>
        <w:tblW w:w="9180" w:type="dxa"/>
        <w:tblLayout w:type="fixed"/>
        <w:tblLook w:val="04A0" w:firstRow="1" w:lastRow="0" w:firstColumn="1" w:lastColumn="0" w:noHBand="0" w:noVBand="1"/>
      </w:tblPr>
      <w:tblGrid>
        <w:gridCol w:w="817"/>
        <w:gridCol w:w="1276"/>
        <w:gridCol w:w="1134"/>
        <w:gridCol w:w="999"/>
        <w:gridCol w:w="874"/>
        <w:gridCol w:w="1104"/>
        <w:gridCol w:w="856"/>
        <w:gridCol w:w="1281"/>
        <w:gridCol w:w="839"/>
      </w:tblGrid>
      <w:tr w:rsidR="00801914" w:rsidRPr="00B342DA" w14:paraId="2625197E" w14:textId="77777777" w:rsidTr="00FE5EED">
        <w:trPr>
          <w:trHeight w:val="323"/>
        </w:trPr>
        <w:tc>
          <w:tcPr>
            <w:tcW w:w="817" w:type="dxa"/>
            <w:vMerge w:val="restart"/>
            <w:tcBorders>
              <w:top w:val="single" w:sz="4" w:space="0" w:color="auto"/>
            </w:tcBorders>
            <w:vAlign w:val="center"/>
            <w:hideMark/>
          </w:tcPr>
          <w:p w14:paraId="5FE8E778" w14:textId="77777777" w:rsidR="00801914" w:rsidRPr="00564927" w:rsidRDefault="00801914" w:rsidP="00FE5EED">
            <w:pPr>
              <w:ind w:right="-104"/>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Model</w:t>
            </w:r>
          </w:p>
        </w:tc>
        <w:tc>
          <w:tcPr>
            <w:tcW w:w="1276" w:type="dxa"/>
            <w:vMerge w:val="restart"/>
            <w:tcBorders>
              <w:top w:val="single" w:sz="4" w:space="0" w:color="auto"/>
            </w:tcBorders>
            <w:vAlign w:val="center"/>
            <w:hideMark/>
          </w:tcPr>
          <w:p w14:paraId="0504D365"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 </w:t>
            </w:r>
          </w:p>
        </w:tc>
        <w:tc>
          <w:tcPr>
            <w:tcW w:w="1134" w:type="dxa"/>
            <w:vMerge w:val="restart"/>
            <w:tcBorders>
              <w:top w:val="single" w:sz="4" w:space="0" w:color="auto"/>
            </w:tcBorders>
            <w:vAlign w:val="center"/>
            <w:hideMark/>
          </w:tcPr>
          <w:p w14:paraId="252E7347"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Unstandardized</w:t>
            </w:r>
          </w:p>
        </w:tc>
        <w:tc>
          <w:tcPr>
            <w:tcW w:w="999" w:type="dxa"/>
            <w:vMerge w:val="restart"/>
            <w:tcBorders>
              <w:top w:val="single" w:sz="4" w:space="0" w:color="auto"/>
            </w:tcBorders>
            <w:vAlign w:val="center"/>
            <w:hideMark/>
          </w:tcPr>
          <w:p w14:paraId="02093D5E"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Standard Error</w:t>
            </w:r>
          </w:p>
        </w:tc>
        <w:tc>
          <w:tcPr>
            <w:tcW w:w="874" w:type="dxa"/>
            <w:vMerge w:val="restart"/>
            <w:tcBorders>
              <w:top w:val="single" w:sz="4" w:space="0" w:color="auto"/>
            </w:tcBorders>
            <w:vAlign w:val="center"/>
            <w:hideMark/>
          </w:tcPr>
          <w:p w14:paraId="3783F912"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Standardized</w:t>
            </w:r>
          </w:p>
        </w:tc>
        <w:tc>
          <w:tcPr>
            <w:tcW w:w="1104" w:type="dxa"/>
            <w:vMerge w:val="restart"/>
            <w:tcBorders>
              <w:top w:val="single" w:sz="4" w:space="0" w:color="auto"/>
            </w:tcBorders>
            <w:vAlign w:val="center"/>
            <w:hideMark/>
          </w:tcPr>
          <w:p w14:paraId="5CF6EAAD"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t</w:t>
            </w:r>
          </w:p>
        </w:tc>
        <w:tc>
          <w:tcPr>
            <w:tcW w:w="856" w:type="dxa"/>
            <w:vMerge w:val="restart"/>
            <w:tcBorders>
              <w:top w:val="single" w:sz="4" w:space="0" w:color="auto"/>
            </w:tcBorders>
            <w:vAlign w:val="center"/>
            <w:hideMark/>
          </w:tcPr>
          <w:p w14:paraId="0795D61A"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p</w:t>
            </w:r>
          </w:p>
        </w:tc>
        <w:tc>
          <w:tcPr>
            <w:tcW w:w="2120" w:type="dxa"/>
            <w:gridSpan w:val="2"/>
            <w:tcBorders>
              <w:top w:val="single" w:sz="4" w:space="0" w:color="auto"/>
              <w:bottom w:val="single" w:sz="4" w:space="0" w:color="auto"/>
            </w:tcBorders>
            <w:vAlign w:val="center"/>
            <w:hideMark/>
          </w:tcPr>
          <w:p w14:paraId="1A436276"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Collinearity Statistics</w:t>
            </w:r>
          </w:p>
        </w:tc>
      </w:tr>
      <w:tr w:rsidR="00801914" w:rsidRPr="00B342DA" w14:paraId="00BBEC2B" w14:textId="77777777" w:rsidTr="00FE5EED">
        <w:trPr>
          <w:trHeight w:val="400"/>
        </w:trPr>
        <w:tc>
          <w:tcPr>
            <w:tcW w:w="817" w:type="dxa"/>
            <w:vMerge/>
            <w:tcBorders>
              <w:bottom w:val="single" w:sz="4" w:space="0" w:color="auto"/>
            </w:tcBorders>
            <w:vAlign w:val="center"/>
            <w:hideMark/>
          </w:tcPr>
          <w:p w14:paraId="784FBB54" w14:textId="77777777" w:rsidR="00801914" w:rsidRPr="00564927" w:rsidRDefault="00801914" w:rsidP="00FE5EED">
            <w:pPr>
              <w:rPr>
                <w:rFonts w:ascii="Times New Roman" w:eastAsia="Times New Roman" w:hAnsi="Times New Roman"/>
                <w:color w:val="000000"/>
                <w:sz w:val="24"/>
                <w:szCs w:val="24"/>
              </w:rPr>
            </w:pPr>
          </w:p>
        </w:tc>
        <w:tc>
          <w:tcPr>
            <w:tcW w:w="1276" w:type="dxa"/>
            <w:vMerge/>
            <w:tcBorders>
              <w:bottom w:val="single" w:sz="4" w:space="0" w:color="auto"/>
            </w:tcBorders>
            <w:vAlign w:val="center"/>
            <w:hideMark/>
          </w:tcPr>
          <w:p w14:paraId="25D28D70" w14:textId="77777777" w:rsidR="00801914" w:rsidRPr="00564927" w:rsidRDefault="00801914" w:rsidP="00FE5EED">
            <w:pPr>
              <w:rPr>
                <w:rFonts w:ascii="Times New Roman" w:eastAsia="Times New Roman" w:hAnsi="Times New Roman"/>
                <w:color w:val="000000"/>
                <w:sz w:val="24"/>
                <w:szCs w:val="24"/>
              </w:rPr>
            </w:pPr>
          </w:p>
        </w:tc>
        <w:tc>
          <w:tcPr>
            <w:tcW w:w="1134" w:type="dxa"/>
            <w:vMerge/>
            <w:tcBorders>
              <w:bottom w:val="single" w:sz="4" w:space="0" w:color="auto"/>
            </w:tcBorders>
            <w:vAlign w:val="center"/>
            <w:hideMark/>
          </w:tcPr>
          <w:p w14:paraId="1988C859" w14:textId="77777777" w:rsidR="00801914" w:rsidRPr="00564927" w:rsidRDefault="00801914" w:rsidP="00FE5EED">
            <w:pPr>
              <w:rPr>
                <w:rFonts w:ascii="Times New Roman" w:eastAsia="Times New Roman" w:hAnsi="Times New Roman"/>
                <w:color w:val="000000"/>
                <w:sz w:val="24"/>
                <w:szCs w:val="24"/>
              </w:rPr>
            </w:pPr>
          </w:p>
        </w:tc>
        <w:tc>
          <w:tcPr>
            <w:tcW w:w="999" w:type="dxa"/>
            <w:vMerge/>
            <w:tcBorders>
              <w:bottom w:val="single" w:sz="4" w:space="0" w:color="auto"/>
            </w:tcBorders>
            <w:vAlign w:val="center"/>
            <w:hideMark/>
          </w:tcPr>
          <w:p w14:paraId="2F7ABCD3" w14:textId="77777777" w:rsidR="00801914" w:rsidRPr="00564927" w:rsidRDefault="00801914" w:rsidP="00FE5EED">
            <w:pPr>
              <w:rPr>
                <w:rFonts w:ascii="Times New Roman" w:eastAsia="Times New Roman" w:hAnsi="Times New Roman"/>
                <w:color w:val="000000"/>
                <w:sz w:val="24"/>
                <w:szCs w:val="24"/>
              </w:rPr>
            </w:pPr>
          </w:p>
        </w:tc>
        <w:tc>
          <w:tcPr>
            <w:tcW w:w="874" w:type="dxa"/>
            <w:vMerge/>
            <w:tcBorders>
              <w:bottom w:val="single" w:sz="4" w:space="0" w:color="auto"/>
            </w:tcBorders>
            <w:vAlign w:val="center"/>
            <w:hideMark/>
          </w:tcPr>
          <w:p w14:paraId="12AAB0DD" w14:textId="77777777" w:rsidR="00801914" w:rsidRPr="00564927" w:rsidRDefault="00801914" w:rsidP="00FE5EED">
            <w:pPr>
              <w:rPr>
                <w:rFonts w:ascii="Times New Roman" w:eastAsia="Times New Roman" w:hAnsi="Times New Roman"/>
                <w:color w:val="000000"/>
                <w:sz w:val="24"/>
                <w:szCs w:val="24"/>
              </w:rPr>
            </w:pPr>
          </w:p>
        </w:tc>
        <w:tc>
          <w:tcPr>
            <w:tcW w:w="1104" w:type="dxa"/>
            <w:vMerge/>
            <w:tcBorders>
              <w:bottom w:val="single" w:sz="4" w:space="0" w:color="auto"/>
            </w:tcBorders>
            <w:vAlign w:val="center"/>
            <w:hideMark/>
          </w:tcPr>
          <w:p w14:paraId="394FC954" w14:textId="77777777" w:rsidR="00801914" w:rsidRPr="00564927" w:rsidRDefault="00801914" w:rsidP="00FE5EED">
            <w:pPr>
              <w:rPr>
                <w:rFonts w:ascii="Times New Roman" w:eastAsia="Times New Roman" w:hAnsi="Times New Roman"/>
                <w:color w:val="000000"/>
                <w:sz w:val="24"/>
                <w:szCs w:val="24"/>
              </w:rPr>
            </w:pPr>
          </w:p>
        </w:tc>
        <w:tc>
          <w:tcPr>
            <w:tcW w:w="856" w:type="dxa"/>
            <w:vMerge/>
            <w:tcBorders>
              <w:bottom w:val="single" w:sz="4" w:space="0" w:color="auto"/>
            </w:tcBorders>
            <w:vAlign w:val="center"/>
            <w:hideMark/>
          </w:tcPr>
          <w:p w14:paraId="44EB7A73" w14:textId="77777777" w:rsidR="00801914" w:rsidRPr="00564927" w:rsidRDefault="00801914" w:rsidP="00FE5EED">
            <w:pPr>
              <w:rPr>
                <w:rFonts w:ascii="Times New Roman" w:eastAsia="Times New Roman" w:hAnsi="Times New Roman"/>
                <w:color w:val="000000"/>
                <w:sz w:val="24"/>
                <w:szCs w:val="24"/>
              </w:rPr>
            </w:pPr>
          </w:p>
        </w:tc>
        <w:tc>
          <w:tcPr>
            <w:tcW w:w="1281" w:type="dxa"/>
            <w:tcBorders>
              <w:top w:val="single" w:sz="4" w:space="0" w:color="auto"/>
              <w:bottom w:val="single" w:sz="4" w:space="0" w:color="auto"/>
            </w:tcBorders>
            <w:vAlign w:val="center"/>
            <w:hideMark/>
          </w:tcPr>
          <w:p w14:paraId="18C56CF0"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Tolerance</w:t>
            </w:r>
          </w:p>
        </w:tc>
        <w:tc>
          <w:tcPr>
            <w:tcW w:w="839" w:type="dxa"/>
            <w:tcBorders>
              <w:top w:val="single" w:sz="4" w:space="0" w:color="auto"/>
              <w:bottom w:val="single" w:sz="4" w:space="0" w:color="auto"/>
            </w:tcBorders>
            <w:vAlign w:val="center"/>
            <w:hideMark/>
          </w:tcPr>
          <w:p w14:paraId="68F100E3"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VIF</w:t>
            </w:r>
          </w:p>
        </w:tc>
      </w:tr>
      <w:tr w:rsidR="00801914" w:rsidRPr="00B342DA" w14:paraId="4B0C01FC" w14:textId="77777777" w:rsidTr="00FE5EED">
        <w:trPr>
          <w:trHeight w:val="306"/>
        </w:trPr>
        <w:tc>
          <w:tcPr>
            <w:tcW w:w="817" w:type="dxa"/>
            <w:tcBorders>
              <w:top w:val="single" w:sz="4" w:space="0" w:color="auto"/>
            </w:tcBorders>
            <w:vAlign w:val="center"/>
            <w:hideMark/>
          </w:tcPr>
          <w:p w14:paraId="445FF015" w14:textId="77777777" w:rsidR="00801914" w:rsidRPr="00564927" w:rsidRDefault="00801914" w:rsidP="00FE5EED">
            <w:pPr>
              <w:ind w:firstLineChars="100" w:firstLine="240"/>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M₀</w:t>
            </w:r>
          </w:p>
        </w:tc>
        <w:tc>
          <w:tcPr>
            <w:tcW w:w="1276" w:type="dxa"/>
            <w:tcBorders>
              <w:top w:val="single" w:sz="4" w:space="0" w:color="auto"/>
            </w:tcBorders>
            <w:vAlign w:val="center"/>
            <w:hideMark/>
          </w:tcPr>
          <w:p w14:paraId="2F8A33E4"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(Intercept)</w:t>
            </w:r>
          </w:p>
        </w:tc>
        <w:tc>
          <w:tcPr>
            <w:tcW w:w="1134" w:type="dxa"/>
            <w:tcBorders>
              <w:top w:val="single" w:sz="4" w:space="0" w:color="auto"/>
            </w:tcBorders>
            <w:vAlign w:val="center"/>
            <w:hideMark/>
          </w:tcPr>
          <w:p w14:paraId="63F58419"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62,975</w:t>
            </w:r>
          </w:p>
        </w:tc>
        <w:tc>
          <w:tcPr>
            <w:tcW w:w="999" w:type="dxa"/>
            <w:tcBorders>
              <w:top w:val="single" w:sz="4" w:space="0" w:color="auto"/>
            </w:tcBorders>
            <w:vAlign w:val="center"/>
            <w:hideMark/>
          </w:tcPr>
          <w:p w14:paraId="5CD99DDA"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0,298</w:t>
            </w:r>
          </w:p>
        </w:tc>
        <w:tc>
          <w:tcPr>
            <w:tcW w:w="874" w:type="dxa"/>
            <w:tcBorders>
              <w:top w:val="single" w:sz="4" w:space="0" w:color="auto"/>
            </w:tcBorders>
            <w:vAlign w:val="center"/>
            <w:hideMark/>
          </w:tcPr>
          <w:p w14:paraId="2389AE2E"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p>
        </w:tc>
        <w:tc>
          <w:tcPr>
            <w:tcW w:w="1104" w:type="dxa"/>
            <w:tcBorders>
              <w:top w:val="single" w:sz="4" w:space="0" w:color="auto"/>
            </w:tcBorders>
            <w:vAlign w:val="center"/>
            <w:hideMark/>
          </w:tcPr>
          <w:p w14:paraId="73EBE975"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211,166</w:t>
            </w:r>
          </w:p>
        </w:tc>
        <w:tc>
          <w:tcPr>
            <w:tcW w:w="856" w:type="dxa"/>
            <w:tcBorders>
              <w:top w:val="single" w:sz="4" w:space="0" w:color="auto"/>
            </w:tcBorders>
            <w:vAlign w:val="center"/>
            <w:hideMark/>
          </w:tcPr>
          <w:p w14:paraId="3C682A09"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&lt; ,001</w:t>
            </w:r>
          </w:p>
        </w:tc>
        <w:tc>
          <w:tcPr>
            <w:tcW w:w="1281" w:type="dxa"/>
            <w:tcBorders>
              <w:top w:val="single" w:sz="4" w:space="0" w:color="auto"/>
            </w:tcBorders>
            <w:vAlign w:val="center"/>
            <w:hideMark/>
          </w:tcPr>
          <w:p w14:paraId="032170EB" w14:textId="77777777" w:rsidR="00801914" w:rsidRPr="00564927" w:rsidRDefault="00801914" w:rsidP="00FE5EED">
            <w:pPr>
              <w:ind w:firstLineChars="100" w:firstLine="240"/>
              <w:jc w:val="center"/>
              <w:rPr>
                <w:rFonts w:ascii="Times New Roman" w:eastAsia="Times New Roman" w:hAnsi="Times New Roman"/>
                <w:color w:val="000000"/>
                <w:sz w:val="24"/>
                <w:szCs w:val="24"/>
              </w:rPr>
            </w:pPr>
          </w:p>
        </w:tc>
        <w:tc>
          <w:tcPr>
            <w:tcW w:w="839" w:type="dxa"/>
            <w:tcBorders>
              <w:top w:val="single" w:sz="4" w:space="0" w:color="auto"/>
            </w:tcBorders>
            <w:vAlign w:val="center"/>
            <w:hideMark/>
          </w:tcPr>
          <w:p w14:paraId="34F58C16" w14:textId="77777777" w:rsidR="00801914" w:rsidRPr="00564927" w:rsidRDefault="00801914" w:rsidP="00FE5EED">
            <w:pPr>
              <w:ind w:firstLineChars="100" w:firstLine="240"/>
              <w:jc w:val="center"/>
              <w:rPr>
                <w:rFonts w:ascii="Times New Roman" w:eastAsia="Times New Roman" w:hAnsi="Times New Roman"/>
                <w:sz w:val="24"/>
                <w:szCs w:val="24"/>
              </w:rPr>
            </w:pPr>
          </w:p>
        </w:tc>
      </w:tr>
      <w:tr w:rsidR="00801914" w:rsidRPr="00B342DA" w14:paraId="67918D2B" w14:textId="77777777" w:rsidTr="00FE5EED">
        <w:trPr>
          <w:trHeight w:val="306"/>
        </w:trPr>
        <w:tc>
          <w:tcPr>
            <w:tcW w:w="817" w:type="dxa"/>
            <w:vAlign w:val="center"/>
            <w:hideMark/>
          </w:tcPr>
          <w:p w14:paraId="26B4F0CC" w14:textId="77777777" w:rsidR="00801914" w:rsidRPr="00564927" w:rsidRDefault="00801914" w:rsidP="00FE5EED">
            <w:pPr>
              <w:ind w:firstLineChars="100" w:firstLine="240"/>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M₁</w:t>
            </w:r>
          </w:p>
        </w:tc>
        <w:tc>
          <w:tcPr>
            <w:tcW w:w="1276" w:type="dxa"/>
            <w:vAlign w:val="center"/>
            <w:hideMark/>
          </w:tcPr>
          <w:p w14:paraId="06868A32"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(Intercept)</w:t>
            </w:r>
          </w:p>
        </w:tc>
        <w:tc>
          <w:tcPr>
            <w:tcW w:w="1134" w:type="dxa"/>
            <w:vAlign w:val="center"/>
            <w:hideMark/>
          </w:tcPr>
          <w:p w14:paraId="72704999"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83,816</w:t>
            </w:r>
          </w:p>
        </w:tc>
        <w:tc>
          <w:tcPr>
            <w:tcW w:w="999" w:type="dxa"/>
            <w:vAlign w:val="center"/>
            <w:hideMark/>
          </w:tcPr>
          <w:p w14:paraId="58C45D94"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1,792</w:t>
            </w:r>
          </w:p>
        </w:tc>
        <w:tc>
          <w:tcPr>
            <w:tcW w:w="874" w:type="dxa"/>
            <w:vAlign w:val="center"/>
            <w:hideMark/>
          </w:tcPr>
          <w:p w14:paraId="0046DF4B"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p>
        </w:tc>
        <w:tc>
          <w:tcPr>
            <w:tcW w:w="1104" w:type="dxa"/>
            <w:vAlign w:val="center"/>
            <w:hideMark/>
          </w:tcPr>
          <w:p w14:paraId="39F102A2"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46,763</w:t>
            </w:r>
          </w:p>
        </w:tc>
        <w:tc>
          <w:tcPr>
            <w:tcW w:w="856" w:type="dxa"/>
            <w:vAlign w:val="center"/>
            <w:hideMark/>
          </w:tcPr>
          <w:p w14:paraId="6DFED824"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&lt; ,001</w:t>
            </w:r>
          </w:p>
        </w:tc>
        <w:tc>
          <w:tcPr>
            <w:tcW w:w="1281" w:type="dxa"/>
            <w:vAlign w:val="center"/>
            <w:hideMark/>
          </w:tcPr>
          <w:p w14:paraId="64B6DCC1" w14:textId="77777777" w:rsidR="00801914" w:rsidRPr="00564927" w:rsidRDefault="00801914" w:rsidP="00FE5EED">
            <w:pPr>
              <w:ind w:firstLineChars="100" w:firstLine="240"/>
              <w:jc w:val="center"/>
              <w:rPr>
                <w:rFonts w:ascii="Times New Roman" w:eastAsia="Times New Roman" w:hAnsi="Times New Roman"/>
                <w:color w:val="000000"/>
                <w:sz w:val="24"/>
                <w:szCs w:val="24"/>
              </w:rPr>
            </w:pPr>
          </w:p>
        </w:tc>
        <w:tc>
          <w:tcPr>
            <w:tcW w:w="839" w:type="dxa"/>
            <w:vAlign w:val="center"/>
            <w:hideMark/>
          </w:tcPr>
          <w:p w14:paraId="563FC5BB" w14:textId="77777777" w:rsidR="00801914" w:rsidRPr="00564927" w:rsidRDefault="00801914" w:rsidP="00FE5EED">
            <w:pPr>
              <w:ind w:firstLineChars="100" w:firstLine="240"/>
              <w:jc w:val="center"/>
              <w:rPr>
                <w:rFonts w:ascii="Times New Roman" w:eastAsia="Times New Roman" w:hAnsi="Times New Roman"/>
                <w:sz w:val="24"/>
                <w:szCs w:val="24"/>
              </w:rPr>
            </w:pPr>
          </w:p>
        </w:tc>
      </w:tr>
      <w:tr w:rsidR="00801914" w:rsidRPr="00B342DA" w14:paraId="6DF1031D" w14:textId="77777777" w:rsidTr="00FE5EED">
        <w:trPr>
          <w:trHeight w:val="306"/>
        </w:trPr>
        <w:tc>
          <w:tcPr>
            <w:tcW w:w="817" w:type="dxa"/>
            <w:vAlign w:val="center"/>
            <w:hideMark/>
          </w:tcPr>
          <w:p w14:paraId="55E19C96" w14:textId="77777777" w:rsidR="00801914" w:rsidRPr="00564927" w:rsidRDefault="00801914" w:rsidP="00FE5EED">
            <w:pPr>
              <w:ind w:firstLineChars="100" w:firstLine="240"/>
              <w:jc w:val="right"/>
              <w:rPr>
                <w:rFonts w:ascii="Times New Roman" w:eastAsia="Times New Roman" w:hAnsi="Times New Roman"/>
                <w:sz w:val="24"/>
                <w:szCs w:val="24"/>
              </w:rPr>
            </w:pPr>
          </w:p>
        </w:tc>
        <w:tc>
          <w:tcPr>
            <w:tcW w:w="1276" w:type="dxa"/>
            <w:vAlign w:val="center"/>
            <w:hideMark/>
          </w:tcPr>
          <w:p w14:paraId="4B410AE5"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ILC</w:t>
            </w:r>
          </w:p>
        </w:tc>
        <w:tc>
          <w:tcPr>
            <w:tcW w:w="1134" w:type="dxa"/>
            <w:vAlign w:val="center"/>
            <w:hideMark/>
          </w:tcPr>
          <w:p w14:paraId="194BDC52"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-0,327</w:t>
            </w:r>
          </w:p>
        </w:tc>
        <w:tc>
          <w:tcPr>
            <w:tcW w:w="999" w:type="dxa"/>
            <w:vAlign w:val="center"/>
            <w:hideMark/>
          </w:tcPr>
          <w:p w14:paraId="0E4FE333"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0,060</w:t>
            </w:r>
          </w:p>
        </w:tc>
        <w:tc>
          <w:tcPr>
            <w:tcW w:w="874" w:type="dxa"/>
            <w:vAlign w:val="center"/>
            <w:hideMark/>
          </w:tcPr>
          <w:p w14:paraId="29CBD1DA"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-0,245</w:t>
            </w:r>
          </w:p>
        </w:tc>
        <w:tc>
          <w:tcPr>
            <w:tcW w:w="1104" w:type="dxa"/>
            <w:vAlign w:val="center"/>
            <w:hideMark/>
          </w:tcPr>
          <w:p w14:paraId="0B3E6620"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-5,452</w:t>
            </w:r>
          </w:p>
        </w:tc>
        <w:tc>
          <w:tcPr>
            <w:tcW w:w="856" w:type="dxa"/>
            <w:vAlign w:val="center"/>
            <w:hideMark/>
          </w:tcPr>
          <w:p w14:paraId="73E08980"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&lt; ,001</w:t>
            </w:r>
          </w:p>
        </w:tc>
        <w:tc>
          <w:tcPr>
            <w:tcW w:w="1281" w:type="dxa"/>
            <w:vAlign w:val="center"/>
            <w:hideMark/>
          </w:tcPr>
          <w:p w14:paraId="0807F654"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0,920</w:t>
            </w:r>
          </w:p>
        </w:tc>
        <w:tc>
          <w:tcPr>
            <w:tcW w:w="839" w:type="dxa"/>
            <w:vAlign w:val="center"/>
            <w:hideMark/>
          </w:tcPr>
          <w:p w14:paraId="3481ADB0"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1,087</w:t>
            </w:r>
          </w:p>
        </w:tc>
      </w:tr>
      <w:tr w:rsidR="00801914" w:rsidRPr="00B342DA" w14:paraId="1DDAA179" w14:textId="77777777" w:rsidTr="00FE5EED">
        <w:trPr>
          <w:trHeight w:val="306"/>
        </w:trPr>
        <w:tc>
          <w:tcPr>
            <w:tcW w:w="817" w:type="dxa"/>
            <w:tcBorders>
              <w:bottom w:val="single" w:sz="4" w:space="0" w:color="auto"/>
            </w:tcBorders>
            <w:vAlign w:val="center"/>
            <w:hideMark/>
          </w:tcPr>
          <w:p w14:paraId="521168FE"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p>
        </w:tc>
        <w:tc>
          <w:tcPr>
            <w:tcW w:w="1276" w:type="dxa"/>
            <w:tcBorders>
              <w:bottom w:val="single" w:sz="4" w:space="0" w:color="auto"/>
            </w:tcBorders>
            <w:vAlign w:val="center"/>
            <w:hideMark/>
          </w:tcPr>
          <w:p w14:paraId="00F5C30D"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FB</w:t>
            </w:r>
          </w:p>
        </w:tc>
        <w:tc>
          <w:tcPr>
            <w:tcW w:w="1134" w:type="dxa"/>
            <w:tcBorders>
              <w:bottom w:val="single" w:sz="4" w:space="0" w:color="auto"/>
            </w:tcBorders>
            <w:vAlign w:val="center"/>
            <w:hideMark/>
          </w:tcPr>
          <w:p w14:paraId="6F4876FA"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-0,593</w:t>
            </w:r>
          </w:p>
        </w:tc>
        <w:tc>
          <w:tcPr>
            <w:tcW w:w="999" w:type="dxa"/>
            <w:tcBorders>
              <w:bottom w:val="single" w:sz="4" w:space="0" w:color="auto"/>
            </w:tcBorders>
            <w:vAlign w:val="center"/>
            <w:hideMark/>
          </w:tcPr>
          <w:p w14:paraId="4A0949EF"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0,070</w:t>
            </w:r>
          </w:p>
        </w:tc>
        <w:tc>
          <w:tcPr>
            <w:tcW w:w="874" w:type="dxa"/>
            <w:tcBorders>
              <w:bottom w:val="single" w:sz="4" w:space="0" w:color="auto"/>
            </w:tcBorders>
            <w:vAlign w:val="center"/>
            <w:hideMark/>
          </w:tcPr>
          <w:p w14:paraId="6166379B"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-0,380</w:t>
            </w:r>
          </w:p>
        </w:tc>
        <w:tc>
          <w:tcPr>
            <w:tcW w:w="1104" w:type="dxa"/>
            <w:tcBorders>
              <w:bottom w:val="single" w:sz="4" w:space="0" w:color="auto"/>
            </w:tcBorders>
            <w:vAlign w:val="center"/>
            <w:hideMark/>
          </w:tcPr>
          <w:p w14:paraId="297010B9"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-8,445</w:t>
            </w:r>
          </w:p>
        </w:tc>
        <w:tc>
          <w:tcPr>
            <w:tcW w:w="856" w:type="dxa"/>
            <w:tcBorders>
              <w:bottom w:val="single" w:sz="4" w:space="0" w:color="auto"/>
            </w:tcBorders>
            <w:vAlign w:val="center"/>
            <w:hideMark/>
          </w:tcPr>
          <w:p w14:paraId="4B3E53C3"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&lt; ,001</w:t>
            </w:r>
          </w:p>
        </w:tc>
        <w:tc>
          <w:tcPr>
            <w:tcW w:w="1281" w:type="dxa"/>
            <w:tcBorders>
              <w:bottom w:val="single" w:sz="4" w:space="0" w:color="auto"/>
            </w:tcBorders>
            <w:vAlign w:val="center"/>
            <w:hideMark/>
          </w:tcPr>
          <w:p w14:paraId="31202F6A"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0,920</w:t>
            </w:r>
          </w:p>
        </w:tc>
        <w:tc>
          <w:tcPr>
            <w:tcW w:w="839" w:type="dxa"/>
            <w:tcBorders>
              <w:bottom w:val="single" w:sz="4" w:space="0" w:color="auto"/>
            </w:tcBorders>
            <w:vAlign w:val="center"/>
            <w:hideMark/>
          </w:tcPr>
          <w:p w14:paraId="3AC7CB9A" w14:textId="77777777" w:rsidR="00801914" w:rsidRPr="00564927" w:rsidRDefault="00801914" w:rsidP="00FE5EED">
            <w:pP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1,087</w:t>
            </w:r>
          </w:p>
        </w:tc>
      </w:tr>
    </w:tbl>
    <w:p w14:paraId="67716038" w14:textId="77777777" w:rsidR="00801914" w:rsidRPr="00C523E5" w:rsidRDefault="00801914" w:rsidP="00801914">
      <w:pPr>
        <w:rPr>
          <w:rFonts w:ascii="Times New Roman" w:eastAsia="Times New Roman" w:hAnsi="Times New Roman"/>
          <w:sz w:val="20"/>
          <w:szCs w:val="20"/>
        </w:rPr>
      </w:pPr>
      <w:r w:rsidRPr="00C523E5">
        <w:rPr>
          <w:rFonts w:ascii="Times New Roman" w:eastAsia="Times New Roman" w:hAnsi="Times New Roman"/>
          <w:i/>
          <w:sz w:val="20"/>
          <w:szCs w:val="20"/>
        </w:rPr>
        <w:t>Source</w:t>
      </w:r>
      <w:r w:rsidRPr="00C523E5">
        <w:rPr>
          <w:rFonts w:ascii="Times New Roman" w:eastAsia="Times New Roman" w:hAnsi="Times New Roman"/>
          <w:sz w:val="20"/>
          <w:szCs w:val="20"/>
        </w:rPr>
        <w:t xml:space="preserve">: </w:t>
      </w:r>
      <w:r w:rsidRPr="00C523E5">
        <w:rPr>
          <w:rFonts w:ascii="Times New Roman" w:hAnsi="Times New Roman"/>
          <w:i/>
          <w:sz w:val="20"/>
          <w:szCs w:val="20"/>
        </w:rPr>
        <w:t>Data Processed by the Researchers (2025)</w:t>
      </w:r>
    </w:p>
    <w:p w14:paraId="03852634" w14:textId="77777777" w:rsidR="00801914" w:rsidRDefault="00801914" w:rsidP="00801914">
      <w:pPr>
        <w:rPr>
          <w:rFonts w:ascii="Times New Roman" w:hAnsi="Times New Roman"/>
        </w:rPr>
      </w:pPr>
    </w:p>
    <w:p w14:paraId="261754E9" w14:textId="77777777" w:rsidR="00801914" w:rsidRDefault="00801914" w:rsidP="00801914">
      <w:pPr>
        <w:ind w:firstLine="567"/>
        <w:jc w:val="both"/>
        <w:rPr>
          <w:rFonts w:ascii="Times New Roman" w:hAnsi="Times New Roman"/>
          <w:sz w:val="24"/>
          <w:szCs w:val="24"/>
        </w:rPr>
      </w:pPr>
      <w:r w:rsidRPr="00692849">
        <w:rPr>
          <w:rFonts w:ascii="Times New Roman" w:hAnsi="Times New Roman"/>
          <w:sz w:val="24"/>
          <w:szCs w:val="24"/>
        </w:rPr>
        <w:t>The multiple linear regression analysis produced the model equation:</w:t>
      </w:r>
    </w:p>
    <w:p w14:paraId="68213513" w14:textId="77777777" w:rsidR="00801914" w:rsidRPr="00692849" w:rsidRDefault="00801914" w:rsidP="00801914">
      <w:pPr>
        <w:jc w:val="both"/>
        <w:rPr>
          <w:rFonts w:ascii="Times New Roman" w:hAnsi="Times New Roman"/>
          <w:sz w:val="24"/>
          <w:szCs w:val="24"/>
        </w:rPr>
      </w:pPr>
    </w:p>
    <w:p w14:paraId="5CFE1036" w14:textId="77777777" w:rsidR="00801914" w:rsidRPr="004A40B2" w:rsidRDefault="00801914" w:rsidP="00801914">
      <w:pPr>
        <w:rPr>
          <w:rFonts w:ascii="Times New Roman" w:hAnsi="Times New Roman"/>
          <w:sz w:val="24"/>
          <w:szCs w:val="24"/>
        </w:rPr>
      </w:pPr>
      <w:r w:rsidRPr="004A40B2">
        <w:rPr>
          <w:rFonts w:ascii="Times New Roman" w:hAnsi="Times New Roman"/>
          <w:sz w:val="24"/>
          <w:szCs w:val="24"/>
        </w:rPr>
        <w:t>FFT = 62.975 + (−0.</w:t>
      </w:r>
      <w:proofErr w:type="gramStart"/>
      <w:r w:rsidRPr="004A40B2">
        <w:rPr>
          <w:rFonts w:ascii="Times New Roman" w:hAnsi="Times New Roman"/>
          <w:sz w:val="24"/>
          <w:szCs w:val="24"/>
        </w:rPr>
        <w:t>327)(</w:t>
      </w:r>
      <w:proofErr w:type="gramEnd"/>
      <w:r w:rsidRPr="004A40B2">
        <w:rPr>
          <w:rFonts w:ascii="Times New Roman" w:hAnsi="Times New Roman"/>
          <w:sz w:val="24"/>
          <w:szCs w:val="24"/>
        </w:rPr>
        <w:t xml:space="preserve">ILC) + (−0.593)(FB)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9C0E08E" w14:textId="77777777" w:rsidR="00801914" w:rsidRPr="00692849" w:rsidRDefault="00801914" w:rsidP="00801914">
      <w:pPr>
        <w:jc w:val="center"/>
        <w:rPr>
          <w:rFonts w:ascii="Times New Roman" w:hAnsi="Times New Roman"/>
          <w:b/>
          <w:sz w:val="24"/>
          <w:szCs w:val="24"/>
        </w:rPr>
      </w:pPr>
    </w:p>
    <w:p w14:paraId="17736182" w14:textId="77777777" w:rsidR="00801914" w:rsidRPr="00692849" w:rsidRDefault="00801914" w:rsidP="00801914">
      <w:pPr>
        <w:spacing w:line="360" w:lineRule="auto"/>
        <w:ind w:firstLine="567"/>
        <w:jc w:val="both"/>
        <w:rPr>
          <w:rFonts w:ascii="Times New Roman" w:hAnsi="Times New Roman"/>
          <w:sz w:val="24"/>
          <w:szCs w:val="24"/>
        </w:rPr>
      </w:pPr>
      <w:r w:rsidRPr="00EC26E8">
        <w:rPr>
          <w:rFonts w:ascii="Times New Roman" w:hAnsi="Times New Roman"/>
          <w:sz w:val="24"/>
          <w:szCs w:val="24"/>
        </w:rPr>
        <w:t xml:space="preserve">The multiple linear regression model equation above can be </w:t>
      </w:r>
      <w:r w:rsidRPr="00692849">
        <w:rPr>
          <w:rFonts w:ascii="Times New Roman" w:hAnsi="Times New Roman"/>
          <w:sz w:val="24"/>
          <w:szCs w:val="24"/>
        </w:rPr>
        <w:t>interpreted as follows:</w:t>
      </w:r>
      <w:r>
        <w:rPr>
          <w:rFonts w:ascii="Times New Roman" w:hAnsi="Times New Roman"/>
          <w:sz w:val="24"/>
          <w:szCs w:val="24"/>
        </w:rPr>
        <w:t xml:space="preserve"> 1) </w:t>
      </w:r>
      <w:r w:rsidRPr="00692849">
        <w:rPr>
          <w:rFonts w:ascii="Times New Roman" w:hAnsi="Times New Roman"/>
          <w:sz w:val="24"/>
          <w:szCs w:val="24"/>
        </w:rPr>
        <w:t>The constant value (a) of 62.975 indicates the predicted value of FFT when the ILC and FB variable</w:t>
      </w:r>
      <w:r>
        <w:rPr>
          <w:rFonts w:ascii="Times New Roman" w:hAnsi="Times New Roman"/>
          <w:sz w:val="24"/>
          <w:szCs w:val="24"/>
        </w:rPr>
        <w:t xml:space="preserve">s are constant or equal to zero; 2) </w:t>
      </w:r>
      <w:r w:rsidRPr="00692849">
        <w:rPr>
          <w:rFonts w:ascii="Times New Roman" w:hAnsi="Times New Roman"/>
          <w:sz w:val="24"/>
          <w:szCs w:val="24"/>
        </w:rPr>
        <w:t xml:space="preserve">The regression coefficient for the ILC variable (X₁) is −0.327, which is negative. This means that the FFT value decreases by 0.327 units for every </w:t>
      </w:r>
      <w:r w:rsidRPr="00692849">
        <w:rPr>
          <w:rFonts w:ascii="Times New Roman" w:hAnsi="Times New Roman"/>
          <w:sz w:val="24"/>
          <w:szCs w:val="24"/>
        </w:rPr>
        <w:lastRenderedPageBreak/>
        <w:t>one-unit increase in ILC, assuming the other independent variable remains constant</w:t>
      </w:r>
      <w:r>
        <w:rPr>
          <w:rFonts w:ascii="Times New Roman" w:hAnsi="Times New Roman"/>
          <w:sz w:val="24"/>
          <w:szCs w:val="24"/>
        </w:rPr>
        <w:t xml:space="preserve"> </w:t>
      </w:r>
      <w:r w:rsidRPr="00AD59C0">
        <w:rPr>
          <w:rFonts w:ascii="Times New Roman" w:hAnsi="Times New Roman"/>
          <w:sz w:val="24"/>
          <w:szCs w:val="24"/>
        </w:rPr>
        <w:t>or unchanged</w:t>
      </w:r>
      <w:r w:rsidRPr="00692849">
        <w:rPr>
          <w:rFonts w:ascii="Times New Roman" w:hAnsi="Times New Roman"/>
          <w:sz w:val="24"/>
          <w:szCs w:val="24"/>
        </w:rPr>
        <w:t>. The negative coefficient indicates an inverse relationship between ILC and FFT, suggesting that a higher ILC score is associated with a lower tendency among village offi</w:t>
      </w:r>
      <w:r>
        <w:rPr>
          <w:rFonts w:ascii="Times New Roman" w:hAnsi="Times New Roman"/>
          <w:sz w:val="24"/>
          <w:szCs w:val="24"/>
        </w:rPr>
        <w:t xml:space="preserve">cials to commit financial fraud; 3) </w:t>
      </w:r>
      <w:r w:rsidRPr="00692849">
        <w:rPr>
          <w:rFonts w:ascii="Times New Roman" w:hAnsi="Times New Roman"/>
          <w:sz w:val="24"/>
          <w:szCs w:val="24"/>
        </w:rPr>
        <w:t>The regression coefficient for the FB variable (X₂) is −0.593, which is also negative. This indicates that the FFT value decreases by 0.593 units for every one-unit increase in FB, assuming the other independent variable remains constant</w:t>
      </w:r>
      <w:r w:rsidRPr="00EC26E8">
        <w:rPr>
          <w:rFonts w:ascii="Times New Roman" w:hAnsi="Times New Roman"/>
          <w:sz w:val="24"/>
          <w:szCs w:val="24"/>
        </w:rPr>
        <w:t xml:space="preserve"> </w:t>
      </w:r>
      <w:r w:rsidRPr="00AD59C0">
        <w:rPr>
          <w:rFonts w:ascii="Times New Roman" w:hAnsi="Times New Roman"/>
          <w:sz w:val="24"/>
          <w:szCs w:val="24"/>
        </w:rPr>
        <w:t>or unchanged</w:t>
      </w:r>
      <w:r w:rsidRPr="00692849">
        <w:rPr>
          <w:rFonts w:ascii="Times New Roman" w:hAnsi="Times New Roman"/>
          <w:sz w:val="24"/>
          <w:szCs w:val="24"/>
        </w:rPr>
        <w:t>. The negative coefficient shows an inverse relationship between FB and FFT, meaning that higher financial behavior scores correspond to a lower tendency for financial fraud among village officials.</w:t>
      </w:r>
    </w:p>
    <w:p w14:paraId="36396F09" w14:textId="77777777" w:rsidR="00801914" w:rsidRPr="00564927" w:rsidRDefault="00801914" w:rsidP="00801914">
      <w:pPr>
        <w:jc w:val="center"/>
        <w:rPr>
          <w:rFonts w:ascii="Times New Roman" w:hAnsi="Times New Roman"/>
          <w:b/>
          <w:i/>
          <w:sz w:val="24"/>
          <w:szCs w:val="24"/>
        </w:rPr>
      </w:pPr>
      <w:r w:rsidRPr="00564927">
        <w:rPr>
          <w:rFonts w:ascii="Times New Roman" w:hAnsi="Times New Roman"/>
          <w:b/>
          <w:sz w:val="24"/>
          <w:szCs w:val="24"/>
        </w:rPr>
        <w:t xml:space="preserve">Table </w:t>
      </w:r>
      <w:r>
        <w:rPr>
          <w:rFonts w:ascii="Times New Roman" w:hAnsi="Times New Roman"/>
          <w:b/>
          <w:sz w:val="24"/>
          <w:szCs w:val="24"/>
        </w:rPr>
        <w:t>5</w:t>
      </w:r>
      <w:r w:rsidRPr="00564927">
        <w:rPr>
          <w:rFonts w:ascii="Times New Roman" w:hAnsi="Times New Roman"/>
          <w:b/>
          <w:sz w:val="24"/>
          <w:szCs w:val="24"/>
        </w:rPr>
        <w:t>. ANOVA Test</w:t>
      </w:r>
    </w:p>
    <w:tbl>
      <w:tblPr>
        <w:tblW w:w="8879" w:type="dxa"/>
        <w:tblLook w:val="04A0" w:firstRow="1" w:lastRow="0" w:firstColumn="1" w:lastColumn="0" w:noHBand="0" w:noVBand="1"/>
      </w:tblPr>
      <w:tblGrid>
        <w:gridCol w:w="954"/>
        <w:gridCol w:w="1691"/>
        <w:gridCol w:w="1607"/>
        <w:gridCol w:w="863"/>
        <w:gridCol w:w="1482"/>
        <w:gridCol w:w="1172"/>
        <w:gridCol w:w="1110"/>
      </w:tblGrid>
      <w:tr w:rsidR="00C523E5" w:rsidRPr="00B342DA" w14:paraId="2723BAEE" w14:textId="77777777" w:rsidTr="00C523E5">
        <w:trPr>
          <w:trHeight w:val="392"/>
        </w:trPr>
        <w:tc>
          <w:tcPr>
            <w:tcW w:w="954" w:type="dxa"/>
            <w:tcBorders>
              <w:top w:val="single" w:sz="8" w:space="0" w:color="000000"/>
              <w:left w:val="nil"/>
              <w:bottom w:val="single" w:sz="8" w:space="0" w:color="000000"/>
              <w:right w:val="nil"/>
            </w:tcBorders>
            <w:vAlign w:val="center"/>
            <w:hideMark/>
          </w:tcPr>
          <w:p w14:paraId="5465745A"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Model</w:t>
            </w:r>
          </w:p>
        </w:tc>
        <w:tc>
          <w:tcPr>
            <w:tcW w:w="1691" w:type="dxa"/>
            <w:tcBorders>
              <w:top w:val="single" w:sz="8" w:space="0" w:color="000000"/>
              <w:left w:val="nil"/>
              <w:bottom w:val="single" w:sz="8" w:space="0" w:color="000000"/>
              <w:right w:val="nil"/>
            </w:tcBorders>
            <w:vAlign w:val="center"/>
            <w:hideMark/>
          </w:tcPr>
          <w:p w14:paraId="532D707E"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 </w:t>
            </w:r>
          </w:p>
        </w:tc>
        <w:tc>
          <w:tcPr>
            <w:tcW w:w="1607" w:type="dxa"/>
            <w:tcBorders>
              <w:top w:val="single" w:sz="8" w:space="0" w:color="000000"/>
              <w:left w:val="nil"/>
              <w:bottom w:val="single" w:sz="8" w:space="0" w:color="000000"/>
              <w:right w:val="nil"/>
            </w:tcBorders>
            <w:vAlign w:val="center"/>
            <w:hideMark/>
          </w:tcPr>
          <w:p w14:paraId="11417CC6"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Sum of Squares</w:t>
            </w:r>
          </w:p>
        </w:tc>
        <w:tc>
          <w:tcPr>
            <w:tcW w:w="863" w:type="dxa"/>
            <w:tcBorders>
              <w:top w:val="single" w:sz="8" w:space="0" w:color="000000"/>
              <w:left w:val="nil"/>
              <w:bottom w:val="single" w:sz="8" w:space="0" w:color="000000"/>
              <w:right w:val="nil"/>
            </w:tcBorders>
            <w:vAlign w:val="center"/>
            <w:hideMark/>
          </w:tcPr>
          <w:p w14:paraId="185C7A18" w14:textId="77777777" w:rsidR="00801914" w:rsidRPr="00564927" w:rsidRDefault="00801914" w:rsidP="00FE5EED">
            <w:pPr>
              <w:jc w:val="center"/>
              <w:rPr>
                <w:rFonts w:ascii="Times New Roman" w:eastAsia="Times New Roman" w:hAnsi="Times New Roman"/>
                <w:color w:val="000000"/>
                <w:sz w:val="24"/>
                <w:szCs w:val="24"/>
              </w:rPr>
            </w:pPr>
            <w:proofErr w:type="spellStart"/>
            <w:r w:rsidRPr="00564927">
              <w:rPr>
                <w:rFonts w:ascii="Times New Roman" w:eastAsia="Times New Roman" w:hAnsi="Times New Roman"/>
                <w:color w:val="000000"/>
                <w:sz w:val="24"/>
                <w:szCs w:val="24"/>
              </w:rPr>
              <w:t>df</w:t>
            </w:r>
            <w:proofErr w:type="spellEnd"/>
          </w:p>
        </w:tc>
        <w:tc>
          <w:tcPr>
            <w:tcW w:w="1482" w:type="dxa"/>
            <w:tcBorders>
              <w:top w:val="single" w:sz="8" w:space="0" w:color="000000"/>
              <w:left w:val="nil"/>
              <w:bottom w:val="single" w:sz="8" w:space="0" w:color="000000"/>
              <w:right w:val="nil"/>
            </w:tcBorders>
            <w:vAlign w:val="center"/>
            <w:hideMark/>
          </w:tcPr>
          <w:p w14:paraId="2EC4AD1B"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Mean Square</w:t>
            </w:r>
          </w:p>
        </w:tc>
        <w:tc>
          <w:tcPr>
            <w:tcW w:w="1172" w:type="dxa"/>
            <w:tcBorders>
              <w:top w:val="single" w:sz="8" w:space="0" w:color="000000"/>
              <w:left w:val="nil"/>
              <w:bottom w:val="single" w:sz="8" w:space="0" w:color="000000"/>
              <w:right w:val="nil"/>
            </w:tcBorders>
            <w:vAlign w:val="center"/>
            <w:hideMark/>
          </w:tcPr>
          <w:p w14:paraId="4A31BC1A"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F</w:t>
            </w:r>
          </w:p>
        </w:tc>
        <w:tc>
          <w:tcPr>
            <w:tcW w:w="1110" w:type="dxa"/>
            <w:tcBorders>
              <w:top w:val="single" w:sz="8" w:space="0" w:color="000000"/>
              <w:left w:val="nil"/>
              <w:bottom w:val="single" w:sz="8" w:space="0" w:color="000000"/>
              <w:right w:val="nil"/>
            </w:tcBorders>
            <w:vAlign w:val="center"/>
            <w:hideMark/>
          </w:tcPr>
          <w:p w14:paraId="7109FC5F"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p</w:t>
            </w:r>
          </w:p>
        </w:tc>
      </w:tr>
      <w:tr w:rsidR="00C523E5" w:rsidRPr="00B342DA" w14:paraId="75CFE9B5" w14:textId="77777777" w:rsidTr="00C523E5">
        <w:trPr>
          <w:trHeight w:val="381"/>
        </w:trPr>
        <w:tc>
          <w:tcPr>
            <w:tcW w:w="954" w:type="dxa"/>
            <w:tcBorders>
              <w:top w:val="nil"/>
              <w:left w:val="nil"/>
              <w:bottom w:val="nil"/>
              <w:right w:val="nil"/>
            </w:tcBorders>
            <w:vAlign w:val="center"/>
            <w:hideMark/>
          </w:tcPr>
          <w:p w14:paraId="20C6FE07" w14:textId="77777777" w:rsidR="00801914" w:rsidRPr="00564927" w:rsidRDefault="00801914" w:rsidP="00FE5EED">
            <w:pPr>
              <w:ind w:firstLineChars="100" w:firstLine="240"/>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M₁</w:t>
            </w:r>
          </w:p>
        </w:tc>
        <w:tc>
          <w:tcPr>
            <w:tcW w:w="1691" w:type="dxa"/>
            <w:tcBorders>
              <w:top w:val="nil"/>
              <w:left w:val="nil"/>
              <w:bottom w:val="nil"/>
              <w:right w:val="nil"/>
            </w:tcBorders>
            <w:vAlign w:val="center"/>
            <w:hideMark/>
          </w:tcPr>
          <w:p w14:paraId="0D0C038D" w14:textId="77777777" w:rsidR="00801914" w:rsidRPr="00564927" w:rsidRDefault="00801914" w:rsidP="00FE5EED">
            <w:pPr>
              <w:ind w:firstLineChars="100" w:firstLine="240"/>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Regression</w:t>
            </w:r>
          </w:p>
        </w:tc>
        <w:tc>
          <w:tcPr>
            <w:tcW w:w="1607" w:type="dxa"/>
            <w:tcBorders>
              <w:top w:val="nil"/>
              <w:left w:val="nil"/>
              <w:bottom w:val="nil"/>
              <w:right w:val="nil"/>
            </w:tcBorders>
            <w:vAlign w:val="center"/>
            <w:hideMark/>
          </w:tcPr>
          <w:p w14:paraId="20F0E3C2"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3.676,182</w:t>
            </w:r>
          </w:p>
        </w:tc>
        <w:tc>
          <w:tcPr>
            <w:tcW w:w="863" w:type="dxa"/>
            <w:tcBorders>
              <w:top w:val="nil"/>
              <w:left w:val="nil"/>
              <w:bottom w:val="nil"/>
              <w:right w:val="nil"/>
            </w:tcBorders>
            <w:vAlign w:val="center"/>
            <w:hideMark/>
          </w:tcPr>
          <w:p w14:paraId="545E5168"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2</w:t>
            </w:r>
          </w:p>
        </w:tc>
        <w:tc>
          <w:tcPr>
            <w:tcW w:w="1482" w:type="dxa"/>
            <w:tcBorders>
              <w:top w:val="nil"/>
              <w:left w:val="nil"/>
              <w:bottom w:val="nil"/>
              <w:right w:val="nil"/>
            </w:tcBorders>
            <w:vAlign w:val="center"/>
            <w:hideMark/>
          </w:tcPr>
          <w:p w14:paraId="4165EB02"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1.838,091</w:t>
            </w:r>
          </w:p>
        </w:tc>
        <w:tc>
          <w:tcPr>
            <w:tcW w:w="1172" w:type="dxa"/>
            <w:tcBorders>
              <w:top w:val="nil"/>
              <w:left w:val="nil"/>
              <w:bottom w:val="nil"/>
              <w:right w:val="nil"/>
            </w:tcBorders>
            <w:vAlign w:val="center"/>
            <w:hideMark/>
          </w:tcPr>
          <w:p w14:paraId="7DF57899"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69,083</w:t>
            </w:r>
          </w:p>
        </w:tc>
        <w:tc>
          <w:tcPr>
            <w:tcW w:w="1110" w:type="dxa"/>
            <w:tcBorders>
              <w:top w:val="nil"/>
              <w:left w:val="nil"/>
              <w:bottom w:val="nil"/>
              <w:right w:val="nil"/>
            </w:tcBorders>
            <w:vAlign w:val="center"/>
            <w:hideMark/>
          </w:tcPr>
          <w:p w14:paraId="4D2093B8"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&lt; ,001</w:t>
            </w:r>
          </w:p>
        </w:tc>
      </w:tr>
      <w:tr w:rsidR="00C523E5" w:rsidRPr="00B342DA" w14:paraId="272DC640" w14:textId="77777777" w:rsidTr="00C523E5">
        <w:trPr>
          <w:trHeight w:val="381"/>
        </w:trPr>
        <w:tc>
          <w:tcPr>
            <w:tcW w:w="954" w:type="dxa"/>
            <w:tcBorders>
              <w:top w:val="nil"/>
              <w:left w:val="nil"/>
              <w:bottom w:val="nil"/>
              <w:right w:val="nil"/>
            </w:tcBorders>
            <w:vAlign w:val="center"/>
            <w:hideMark/>
          </w:tcPr>
          <w:p w14:paraId="4445CC39"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p>
        </w:tc>
        <w:tc>
          <w:tcPr>
            <w:tcW w:w="1691" w:type="dxa"/>
            <w:tcBorders>
              <w:top w:val="nil"/>
              <w:left w:val="nil"/>
              <w:bottom w:val="nil"/>
              <w:right w:val="nil"/>
            </w:tcBorders>
            <w:vAlign w:val="center"/>
            <w:hideMark/>
          </w:tcPr>
          <w:p w14:paraId="44B89022" w14:textId="77777777" w:rsidR="00801914" w:rsidRPr="00564927" w:rsidRDefault="00801914" w:rsidP="00FE5EED">
            <w:pPr>
              <w:ind w:firstLineChars="100" w:firstLine="240"/>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Residual</w:t>
            </w:r>
          </w:p>
        </w:tc>
        <w:tc>
          <w:tcPr>
            <w:tcW w:w="1607" w:type="dxa"/>
            <w:tcBorders>
              <w:top w:val="nil"/>
              <w:left w:val="nil"/>
              <w:bottom w:val="nil"/>
              <w:right w:val="nil"/>
            </w:tcBorders>
            <w:vAlign w:val="center"/>
            <w:hideMark/>
          </w:tcPr>
          <w:p w14:paraId="777E31A1"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10.589,569</w:t>
            </w:r>
          </w:p>
        </w:tc>
        <w:tc>
          <w:tcPr>
            <w:tcW w:w="863" w:type="dxa"/>
            <w:tcBorders>
              <w:top w:val="nil"/>
              <w:left w:val="nil"/>
              <w:bottom w:val="nil"/>
              <w:right w:val="nil"/>
            </w:tcBorders>
            <w:vAlign w:val="center"/>
            <w:hideMark/>
          </w:tcPr>
          <w:p w14:paraId="3F42E00E"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398</w:t>
            </w:r>
          </w:p>
        </w:tc>
        <w:tc>
          <w:tcPr>
            <w:tcW w:w="1482" w:type="dxa"/>
            <w:tcBorders>
              <w:top w:val="nil"/>
              <w:left w:val="nil"/>
              <w:bottom w:val="nil"/>
              <w:right w:val="nil"/>
            </w:tcBorders>
            <w:vAlign w:val="center"/>
            <w:hideMark/>
          </w:tcPr>
          <w:p w14:paraId="039A4897"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26.607</w:t>
            </w:r>
          </w:p>
        </w:tc>
        <w:tc>
          <w:tcPr>
            <w:tcW w:w="1172" w:type="dxa"/>
            <w:tcBorders>
              <w:top w:val="nil"/>
              <w:left w:val="nil"/>
              <w:bottom w:val="nil"/>
              <w:right w:val="nil"/>
            </w:tcBorders>
            <w:vAlign w:val="center"/>
            <w:hideMark/>
          </w:tcPr>
          <w:p w14:paraId="50DF719E"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p>
        </w:tc>
        <w:tc>
          <w:tcPr>
            <w:tcW w:w="1110" w:type="dxa"/>
            <w:tcBorders>
              <w:top w:val="nil"/>
              <w:left w:val="nil"/>
              <w:bottom w:val="nil"/>
              <w:right w:val="nil"/>
            </w:tcBorders>
            <w:vAlign w:val="center"/>
            <w:hideMark/>
          </w:tcPr>
          <w:p w14:paraId="27168D0C" w14:textId="77777777" w:rsidR="00801914" w:rsidRPr="00564927" w:rsidRDefault="00801914" w:rsidP="00FE5EED">
            <w:pPr>
              <w:ind w:firstLineChars="100" w:firstLine="240"/>
              <w:jc w:val="right"/>
              <w:rPr>
                <w:rFonts w:ascii="Times New Roman" w:eastAsia="Times New Roman" w:hAnsi="Times New Roman"/>
                <w:sz w:val="24"/>
                <w:szCs w:val="24"/>
              </w:rPr>
            </w:pPr>
          </w:p>
        </w:tc>
      </w:tr>
      <w:tr w:rsidR="00C523E5" w:rsidRPr="00B342DA" w14:paraId="43308A18" w14:textId="77777777" w:rsidTr="00C523E5">
        <w:trPr>
          <w:trHeight w:val="381"/>
        </w:trPr>
        <w:tc>
          <w:tcPr>
            <w:tcW w:w="954" w:type="dxa"/>
            <w:tcBorders>
              <w:top w:val="nil"/>
              <w:left w:val="nil"/>
              <w:bottom w:val="single" w:sz="4" w:space="0" w:color="auto"/>
              <w:right w:val="nil"/>
            </w:tcBorders>
            <w:vAlign w:val="center"/>
            <w:hideMark/>
          </w:tcPr>
          <w:p w14:paraId="221B4444" w14:textId="77777777" w:rsidR="00801914" w:rsidRPr="00564927" w:rsidRDefault="00801914" w:rsidP="00FE5EED">
            <w:pPr>
              <w:ind w:firstLineChars="100" w:firstLine="240"/>
              <w:jc w:val="right"/>
              <w:rPr>
                <w:rFonts w:ascii="Times New Roman" w:eastAsia="Times New Roman" w:hAnsi="Times New Roman"/>
                <w:sz w:val="24"/>
                <w:szCs w:val="24"/>
              </w:rPr>
            </w:pPr>
          </w:p>
        </w:tc>
        <w:tc>
          <w:tcPr>
            <w:tcW w:w="1691" w:type="dxa"/>
            <w:tcBorders>
              <w:top w:val="nil"/>
              <w:left w:val="nil"/>
              <w:bottom w:val="single" w:sz="4" w:space="0" w:color="auto"/>
              <w:right w:val="nil"/>
            </w:tcBorders>
            <w:vAlign w:val="center"/>
            <w:hideMark/>
          </w:tcPr>
          <w:p w14:paraId="0B16B554" w14:textId="77777777" w:rsidR="00801914" w:rsidRPr="00564927" w:rsidRDefault="00801914" w:rsidP="00FE5EED">
            <w:pPr>
              <w:ind w:firstLineChars="100" w:firstLine="240"/>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Total</w:t>
            </w:r>
          </w:p>
        </w:tc>
        <w:tc>
          <w:tcPr>
            <w:tcW w:w="1607" w:type="dxa"/>
            <w:tcBorders>
              <w:top w:val="nil"/>
              <w:left w:val="nil"/>
              <w:bottom w:val="single" w:sz="4" w:space="0" w:color="auto"/>
              <w:right w:val="nil"/>
            </w:tcBorders>
            <w:vAlign w:val="center"/>
            <w:hideMark/>
          </w:tcPr>
          <w:p w14:paraId="01371C14"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14.265,751</w:t>
            </w:r>
          </w:p>
        </w:tc>
        <w:tc>
          <w:tcPr>
            <w:tcW w:w="863" w:type="dxa"/>
            <w:tcBorders>
              <w:top w:val="nil"/>
              <w:left w:val="nil"/>
              <w:bottom w:val="single" w:sz="4" w:space="0" w:color="auto"/>
              <w:right w:val="nil"/>
            </w:tcBorders>
            <w:vAlign w:val="center"/>
            <w:hideMark/>
          </w:tcPr>
          <w:p w14:paraId="3A3CE676"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400</w:t>
            </w:r>
          </w:p>
        </w:tc>
        <w:tc>
          <w:tcPr>
            <w:tcW w:w="1482" w:type="dxa"/>
            <w:tcBorders>
              <w:top w:val="nil"/>
              <w:left w:val="nil"/>
              <w:bottom w:val="single" w:sz="4" w:space="0" w:color="auto"/>
              <w:right w:val="nil"/>
            </w:tcBorders>
            <w:vAlign w:val="center"/>
            <w:hideMark/>
          </w:tcPr>
          <w:p w14:paraId="4D620360" w14:textId="77777777" w:rsidR="00801914" w:rsidRPr="00564927" w:rsidRDefault="00801914" w:rsidP="00FE5EED">
            <w:pPr>
              <w:ind w:firstLineChars="100" w:firstLine="240"/>
              <w:jc w:val="right"/>
              <w:rPr>
                <w:rFonts w:ascii="Times New Roman" w:eastAsia="Times New Roman" w:hAnsi="Times New Roman"/>
                <w:color w:val="000000"/>
                <w:sz w:val="24"/>
                <w:szCs w:val="24"/>
              </w:rPr>
            </w:pPr>
          </w:p>
        </w:tc>
        <w:tc>
          <w:tcPr>
            <w:tcW w:w="1172" w:type="dxa"/>
            <w:tcBorders>
              <w:top w:val="nil"/>
              <w:left w:val="nil"/>
              <w:bottom w:val="single" w:sz="4" w:space="0" w:color="auto"/>
              <w:right w:val="nil"/>
            </w:tcBorders>
            <w:vAlign w:val="center"/>
            <w:hideMark/>
          </w:tcPr>
          <w:p w14:paraId="44285C42" w14:textId="77777777" w:rsidR="00801914" w:rsidRPr="00564927" w:rsidRDefault="00801914" w:rsidP="00FE5EED">
            <w:pPr>
              <w:ind w:firstLineChars="100" w:firstLine="240"/>
              <w:jc w:val="right"/>
              <w:rPr>
                <w:rFonts w:ascii="Times New Roman" w:eastAsia="Times New Roman" w:hAnsi="Times New Roman"/>
                <w:sz w:val="24"/>
                <w:szCs w:val="24"/>
              </w:rPr>
            </w:pPr>
          </w:p>
        </w:tc>
        <w:tc>
          <w:tcPr>
            <w:tcW w:w="1110" w:type="dxa"/>
            <w:tcBorders>
              <w:top w:val="nil"/>
              <w:left w:val="nil"/>
              <w:bottom w:val="single" w:sz="4" w:space="0" w:color="auto"/>
              <w:right w:val="nil"/>
            </w:tcBorders>
            <w:vAlign w:val="center"/>
            <w:hideMark/>
          </w:tcPr>
          <w:p w14:paraId="5B681668" w14:textId="77777777" w:rsidR="00801914" w:rsidRPr="00564927" w:rsidRDefault="00801914" w:rsidP="00FE5EED">
            <w:pPr>
              <w:ind w:firstLineChars="100" w:firstLine="240"/>
              <w:jc w:val="right"/>
              <w:rPr>
                <w:rFonts w:ascii="Times New Roman" w:eastAsia="Times New Roman" w:hAnsi="Times New Roman"/>
                <w:sz w:val="24"/>
                <w:szCs w:val="24"/>
              </w:rPr>
            </w:pPr>
          </w:p>
        </w:tc>
      </w:tr>
    </w:tbl>
    <w:p w14:paraId="382E8D4A" w14:textId="77777777" w:rsidR="00801914" w:rsidRPr="00C523E5" w:rsidRDefault="00801914" w:rsidP="00801914">
      <w:pPr>
        <w:rPr>
          <w:rFonts w:ascii="Times New Roman" w:eastAsia="Times New Roman" w:hAnsi="Times New Roman"/>
          <w:sz w:val="20"/>
          <w:szCs w:val="20"/>
        </w:rPr>
      </w:pPr>
      <w:r w:rsidRPr="00C523E5">
        <w:rPr>
          <w:rFonts w:ascii="Times New Roman" w:eastAsia="Times New Roman" w:hAnsi="Times New Roman"/>
          <w:i/>
          <w:sz w:val="20"/>
          <w:szCs w:val="20"/>
        </w:rPr>
        <w:t>Source</w:t>
      </w:r>
      <w:r w:rsidRPr="00C523E5">
        <w:rPr>
          <w:rFonts w:ascii="Times New Roman" w:eastAsia="Times New Roman" w:hAnsi="Times New Roman"/>
          <w:sz w:val="20"/>
          <w:szCs w:val="20"/>
        </w:rPr>
        <w:t xml:space="preserve">: </w:t>
      </w:r>
      <w:r w:rsidRPr="00C523E5">
        <w:rPr>
          <w:rFonts w:ascii="Times New Roman" w:hAnsi="Times New Roman"/>
          <w:i/>
          <w:sz w:val="20"/>
          <w:szCs w:val="20"/>
        </w:rPr>
        <w:t>Data Processed by the Researchers (2025)</w:t>
      </w:r>
    </w:p>
    <w:p w14:paraId="6CEF302A" w14:textId="77777777" w:rsidR="00801914" w:rsidRPr="00526D76" w:rsidRDefault="00801914" w:rsidP="00801914">
      <w:pPr>
        <w:jc w:val="both"/>
        <w:rPr>
          <w:rFonts w:ascii="Times New Roman" w:hAnsi="Times New Roman"/>
        </w:rPr>
      </w:pPr>
    </w:p>
    <w:p w14:paraId="2F17A4C2" w14:textId="77777777" w:rsidR="00801914" w:rsidRPr="00564927" w:rsidRDefault="00801914" w:rsidP="00801914">
      <w:pPr>
        <w:jc w:val="center"/>
        <w:rPr>
          <w:rFonts w:ascii="Times New Roman" w:hAnsi="Times New Roman"/>
          <w:b/>
          <w:sz w:val="24"/>
          <w:szCs w:val="24"/>
        </w:rPr>
      </w:pPr>
      <w:r w:rsidRPr="00564927">
        <w:rPr>
          <w:rFonts w:ascii="Times New Roman" w:hAnsi="Times New Roman"/>
          <w:b/>
          <w:sz w:val="24"/>
          <w:szCs w:val="24"/>
        </w:rPr>
        <w:t xml:space="preserve">Table </w:t>
      </w:r>
      <w:r>
        <w:rPr>
          <w:rFonts w:ascii="Times New Roman" w:hAnsi="Times New Roman"/>
          <w:b/>
          <w:sz w:val="24"/>
          <w:szCs w:val="24"/>
        </w:rPr>
        <w:t>6</w:t>
      </w:r>
      <w:r w:rsidRPr="00564927">
        <w:rPr>
          <w:rFonts w:ascii="Times New Roman" w:hAnsi="Times New Roman"/>
          <w:b/>
          <w:sz w:val="24"/>
          <w:szCs w:val="24"/>
        </w:rPr>
        <w:t>. Coefficient of Determination</w:t>
      </w:r>
    </w:p>
    <w:tbl>
      <w:tblPr>
        <w:tblW w:w="4192" w:type="dxa"/>
        <w:jc w:val="center"/>
        <w:tblLook w:val="04A0" w:firstRow="1" w:lastRow="0" w:firstColumn="1" w:lastColumn="0" w:noHBand="0" w:noVBand="1"/>
      </w:tblPr>
      <w:tblGrid>
        <w:gridCol w:w="1015"/>
        <w:gridCol w:w="833"/>
        <w:gridCol w:w="829"/>
        <w:gridCol w:w="1515"/>
      </w:tblGrid>
      <w:tr w:rsidR="00801914" w:rsidRPr="00B342DA" w14:paraId="132CD88B" w14:textId="77777777" w:rsidTr="00801914">
        <w:trPr>
          <w:trHeight w:val="531"/>
          <w:jc w:val="center"/>
        </w:trPr>
        <w:tc>
          <w:tcPr>
            <w:tcW w:w="1015" w:type="dxa"/>
            <w:tcBorders>
              <w:top w:val="single" w:sz="4" w:space="0" w:color="auto"/>
              <w:bottom w:val="single" w:sz="4" w:space="0" w:color="auto"/>
            </w:tcBorders>
            <w:vAlign w:val="center"/>
            <w:hideMark/>
          </w:tcPr>
          <w:p w14:paraId="391876BA"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Model</w:t>
            </w:r>
          </w:p>
        </w:tc>
        <w:tc>
          <w:tcPr>
            <w:tcW w:w="833" w:type="dxa"/>
            <w:tcBorders>
              <w:top w:val="single" w:sz="4" w:space="0" w:color="auto"/>
              <w:bottom w:val="single" w:sz="4" w:space="0" w:color="auto"/>
            </w:tcBorders>
            <w:vAlign w:val="center"/>
            <w:hideMark/>
          </w:tcPr>
          <w:p w14:paraId="7A8F85A6"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R</w:t>
            </w:r>
          </w:p>
        </w:tc>
        <w:tc>
          <w:tcPr>
            <w:tcW w:w="829" w:type="dxa"/>
            <w:tcBorders>
              <w:top w:val="single" w:sz="4" w:space="0" w:color="auto"/>
              <w:bottom w:val="single" w:sz="4" w:space="0" w:color="auto"/>
            </w:tcBorders>
            <w:vAlign w:val="center"/>
            <w:hideMark/>
          </w:tcPr>
          <w:p w14:paraId="6F072777"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R²</w:t>
            </w:r>
          </w:p>
        </w:tc>
        <w:tc>
          <w:tcPr>
            <w:tcW w:w="1515" w:type="dxa"/>
            <w:tcBorders>
              <w:top w:val="single" w:sz="4" w:space="0" w:color="auto"/>
              <w:bottom w:val="single" w:sz="4" w:space="0" w:color="auto"/>
            </w:tcBorders>
            <w:vAlign w:val="center"/>
            <w:hideMark/>
          </w:tcPr>
          <w:p w14:paraId="0081EB4F"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Adjusted R²</w:t>
            </w:r>
          </w:p>
        </w:tc>
      </w:tr>
      <w:tr w:rsidR="00801914" w:rsidRPr="00B342DA" w14:paraId="2B7A2682" w14:textId="77777777" w:rsidTr="00801914">
        <w:trPr>
          <w:trHeight w:val="531"/>
          <w:jc w:val="center"/>
        </w:trPr>
        <w:tc>
          <w:tcPr>
            <w:tcW w:w="1015" w:type="dxa"/>
            <w:tcBorders>
              <w:top w:val="single" w:sz="4" w:space="0" w:color="auto"/>
            </w:tcBorders>
            <w:vAlign w:val="center"/>
            <w:hideMark/>
          </w:tcPr>
          <w:p w14:paraId="3A7C11BB" w14:textId="77777777" w:rsidR="00801914" w:rsidRPr="00564927" w:rsidRDefault="00801914" w:rsidP="00FE5EED">
            <w:pPr>
              <w:ind w:firstLineChars="100" w:firstLine="240"/>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M₀</w:t>
            </w:r>
          </w:p>
        </w:tc>
        <w:tc>
          <w:tcPr>
            <w:tcW w:w="833" w:type="dxa"/>
            <w:tcBorders>
              <w:top w:val="single" w:sz="4" w:space="0" w:color="auto"/>
            </w:tcBorders>
            <w:vAlign w:val="center"/>
            <w:hideMark/>
          </w:tcPr>
          <w:p w14:paraId="44C111FB"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0.000</w:t>
            </w:r>
          </w:p>
        </w:tc>
        <w:tc>
          <w:tcPr>
            <w:tcW w:w="829" w:type="dxa"/>
            <w:tcBorders>
              <w:top w:val="single" w:sz="4" w:space="0" w:color="auto"/>
            </w:tcBorders>
            <w:vAlign w:val="center"/>
            <w:hideMark/>
          </w:tcPr>
          <w:p w14:paraId="3DDBA0A7"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0.000</w:t>
            </w:r>
          </w:p>
        </w:tc>
        <w:tc>
          <w:tcPr>
            <w:tcW w:w="1515" w:type="dxa"/>
            <w:tcBorders>
              <w:top w:val="single" w:sz="4" w:space="0" w:color="auto"/>
            </w:tcBorders>
            <w:vAlign w:val="center"/>
            <w:hideMark/>
          </w:tcPr>
          <w:p w14:paraId="2DAEF1AC"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0.000</w:t>
            </w:r>
          </w:p>
        </w:tc>
      </w:tr>
      <w:tr w:rsidR="00801914" w:rsidRPr="00B342DA" w14:paraId="7BD1165B" w14:textId="77777777" w:rsidTr="00801914">
        <w:trPr>
          <w:trHeight w:val="531"/>
          <w:jc w:val="center"/>
        </w:trPr>
        <w:tc>
          <w:tcPr>
            <w:tcW w:w="1015" w:type="dxa"/>
            <w:tcBorders>
              <w:bottom w:val="single" w:sz="4" w:space="0" w:color="auto"/>
            </w:tcBorders>
            <w:vAlign w:val="center"/>
            <w:hideMark/>
          </w:tcPr>
          <w:p w14:paraId="08240699" w14:textId="77777777" w:rsidR="00801914" w:rsidRPr="00564927" w:rsidRDefault="00801914" w:rsidP="00FE5EED">
            <w:pPr>
              <w:ind w:firstLineChars="100" w:firstLine="240"/>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M₁</w:t>
            </w:r>
          </w:p>
        </w:tc>
        <w:tc>
          <w:tcPr>
            <w:tcW w:w="833" w:type="dxa"/>
            <w:tcBorders>
              <w:bottom w:val="single" w:sz="4" w:space="0" w:color="auto"/>
            </w:tcBorders>
            <w:vAlign w:val="center"/>
            <w:hideMark/>
          </w:tcPr>
          <w:p w14:paraId="691DC5FD"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0,508</w:t>
            </w:r>
          </w:p>
        </w:tc>
        <w:tc>
          <w:tcPr>
            <w:tcW w:w="829" w:type="dxa"/>
            <w:tcBorders>
              <w:bottom w:val="single" w:sz="4" w:space="0" w:color="auto"/>
            </w:tcBorders>
            <w:vAlign w:val="center"/>
            <w:hideMark/>
          </w:tcPr>
          <w:p w14:paraId="364173C5"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0,258</w:t>
            </w:r>
          </w:p>
        </w:tc>
        <w:tc>
          <w:tcPr>
            <w:tcW w:w="1515" w:type="dxa"/>
            <w:tcBorders>
              <w:bottom w:val="single" w:sz="4" w:space="0" w:color="auto"/>
            </w:tcBorders>
            <w:vAlign w:val="center"/>
            <w:hideMark/>
          </w:tcPr>
          <w:p w14:paraId="080325E2" w14:textId="77777777" w:rsidR="00801914" w:rsidRPr="00564927" w:rsidRDefault="00801914" w:rsidP="00FE5EED">
            <w:pPr>
              <w:jc w:val="center"/>
              <w:rPr>
                <w:rFonts w:ascii="Times New Roman" w:eastAsia="Times New Roman" w:hAnsi="Times New Roman"/>
                <w:color w:val="000000"/>
                <w:sz w:val="24"/>
                <w:szCs w:val="24"/>
              </w:rPr>
            </w:pPr>
            <w:r w:rsidRPr="00564927">
              <w:rPr>
                <w:rFonts w:ascii="Times New Roman" w:eastAsia="Times New Roman" w:hAnsi="Times New Roman"/>
                <w:color w:val="000000"/>
                <w:sz w:val="24"/>
                <w:szCs w:val="24"/>
              </w:rPr>
              <w:t>0,254</w:t>
            </w:r>
          </w:p>
        </w:tc>
      </w:tr>
    </w:tbl>
    <w:p w14:paraId="1F53974C" w14:textId="4299C27C" w:rsidR="00801914" w:rsidRPr="00C523E5" w:rsidRDefault="00C523E5" w:rsidP="00C523E5">
      <w:pPr>
        <w:rPr>
          <w:rFonts w:ascii="Times New Roman" w:hAnsi="Times New Roman"/>
          <w:i/>
          <w:sz w:val="20"/>
          <w:szCs w:val="20"/>
        </w:rPr>
      </w:pPr>
      <w:r>
        <w:rPr>
          <w:rFonts w:ascii="Times New Roman" w:eastAsia="Times New Roman" w:hAnsi="Times New Roman"/>
          <w:i/>
          <w:sz w:val="20"/>
          <w:szCs w:val="20"/>
        </w:rPr>
        <w:t xml:space="preserve">                                                </w:t>
      </w:r>
      <w:r w:rsidR="00801914" w:rsidRPr="00C523E5">
        <w:rPr>
          <w:rFonts w:ascii="Times New Roman" w:eastAsia="Times New Roman" w:hAnsi="Times New Roman"/>
          <w:i/>
          <w:sz w:val="20"/>
          <w:szCs w:val="20"/>
        </w:rPr>
        <w:t>Source</w:t>
      </w:r>
      <w:r w:rsidR="00801914" w:rsidRPr="00C523E5">
        <w:rPr>
          <w:rFonts w:ascii="Times New Roman" w:eastAsia="Times New Roman" w:hAnsi="Times New Roman"/>
          <w:sz w:val="20"/>
          <w:szCs w:val="20"/>
        </w:rPr>
        <w:t xml:space="preserve">: </w:t>
      </w:r>
      <w:r w:rsidR="00801914" w:rsidRPr="00C523E5">
        <w:rPr>
          <w:rFonts w:ascii="Times New Roman" w:hAnsi="Times New Roman"/>
          <w:i/>
          <w:sz w:val="20"/>
          <w:szCs w:val="20"/>
        </w:rPr>
        <w:t>Data Processed by the Researchers (2025)</w:t>
      </w:r>
    </w:p>
    <w:p w14:paraId="64E00A5C" w14:textId="77777777" w:rsidR="00801914" w:rsidRPr="00CC2177" w:rsidRDefault="00801914" w:rsidP="00801914">
      <w:pPr>
        <w:jc w:val="center"/>
        <w:rPr>
          <w:rFonts w:ascii="Times New Roman" w:eastAsia="Times New Roman" w:hAnsi="Times New Roman"/>
        </w:rPr>
      </w:pPr>
    </w:p>
    <w:p w14:paraId="01FA5DC4" w14:textId="77777777" w:rsidR="00801914" w:rsidRPr="00692849" w:rsidRDefault="00801914" w:rsidP="00801914">
      <w:pPr>
        <w:spacing w:line="360" w:lineRule="auto"/>
        <w:ind w:firstLine="567"/>
        <w:jc w:val="both"/>
        <w:rPr>
          <w:rFonts w:ascii="Times New Roman" w:hAnsi="Times New Roman"/>
          <w:sz w:val="24"/>
          <w:szCs w:val="24"/>
        </w:rPr>
      </w:pPr>
      <w:r w:rsidRPr="00692849">
        <w:rPr>
          <w:rFonts w:ascii="Times New Roman" w:hAnsi="Times New Roman"/>
          <w:sz w:val="24"/>
          <w:szCs w:val="24"/>
        </w:rPr>
        <w:t xml:space="preserve">In terms of partial effects, the ILC variable had a statistically significant negative effect on FFT (p &lt; 0.001; t-calculated &gt; t-table), indicating that ILC (X₁) significantly reduces financial fraud tendency. Similarly, the FB variable also had a statistically significant negative effect on FFT (p &lt; 0.001; t-calculated &gt; t-table), confirming that FB (X₂) significantly lowers the tendency to engage in financial fraud. </w:t>
      </w:r>
    </w:p>
    <w:p w14:paraId="7CEBE2B8" w14:textId="77777777" w:rsidR="00801914" w:rsidRDefault="00801914" w:rsidP="00801914">
      <w:pPr>
        <w:pStyle w:val="NormalWeb"/>
        <w:spacing w:before="0" w:beforeAutospacing="0" w:after="0" w:afterAutospacing="0" w:line="360" w:lineRule="auto"/>
        <w:ind w:firstLine="567"/>
        <w:jc w:val="both"/>
        <w:rPr>
          <w:lang w:val="en-US"/>
        </w:rPr>
      </w:pPr>
      <w:r w:rsidRPr="00526D76">
        <w:rPr>
          <w:lang w:val="en-US"/>
        </w:rPr>
        <w:t xml:space="preserve">The analysis of variance (ANOVA) results, as presented in Table </w:t>
      </w:r>
      <w:r>
        <w:rPr>
          <w:lang w:val="en-US"/>
        </w:rPr>
        <w:t>5</w:t>
      </w:r>
      <w:r w:rsidRPr="00526D76">
        <w:rPr>
          <w:lang w:val="en-US"/>
        </w:rPr>
        <w:t>, indicate that the calculated F-value was 69.083. Given that this value exceeds the F-table value of 3.00 and is accompanied by a significance level of p &lt; 0.001, it can be concluded that Internal Locus of Control (ILC) and Financial Behavior (FB) collectively exert a statistically significant simultaneous effect on Financial Fraud Tendency (FFT) among village officials in Deli Serdang Regency. This finding demonstrates that when considered together, psychological and behavioral financial factors play a meaningful role in influencing the likelihood of fraudulent behavior within the context of village governance.</w:t>
      </w:r>
    </w:p>
    <w:p w14:paraId="0065A7BC" w14:textId="77777777" w:rsidR="00801914" w:rsidRDefault="00801914" w:rsidP="00801914">
      <w:pPr>
        <w:pStyle w:val="NormalWeb"/>
        <w:spacing w:before="0" w:beforeAutospacing="0" w:after="0" w:afterAutospacing="0" w:line="360" w:lineRule="auto"/>
        <w:ind w:firstLine="567"/>
        <w:jc w:val="both"/>
        <w:rPr>
          <w:lang w:val="en-US"/>
        </w:rPr>
      </w:pPr>
      <w:r w:rsidRPr="00526D76">
        <w:rPr>
          <w:lang w:val="en-US"/>
        </w:rPr>
        <w:lastRenderedPageBreak/>
        <w:t xml:space="preserve">The coefficient of determination (R²) presented in Table </w:t>
      </w:r>
      <w:r>
        <w:rPr>
          <w:lang w:val="en-US"/>
        </w:rPr>
        <w:t>6</w:t>
      </w:r>
      <w:r w:rsidRPr="00526D76">
        <w:rPr>
          <w:lang w:val="en-US"/>
        </w:rPr>
        <w:t xml:space="preserve"> was 0.254, indicating that 25.4% of the variance in FFT can be explained by the combined influence of ILC and FB. The remaining 74.6% is attributable to other factors or variables not included in this study. This suggests that while both ILC and FB are important determinants of fraud tendency, a substantial proportion of the variance may be explained by other elements such as organizational culture, leadership style, internal control systems, or socio-political pressures inherent in the public sector environment. The magnitude of the R² value underscores the need for further research incorporating additional variables to build a more comprehensive predictive model of financial fraud tendencies among public officials.</w:t>
      </w:r>
    </w:p>
    <w:p w14:paraId="56E0774A" w14:textId="77777777" w:rsidR="00801914" w:rsidRPr="00526D76" w:rsidRDefault="00801914" w:rsidP="00801914">
      <w:pPr>
        <w:spacing w:line="360" w:lineRule="auto"/>
        <w:ind w:firstLine="567"/>
        <w:jc w:val="both"/>
        <w:rPr>
          <w:rFonts w:ascii="Times New Roman" w:eastAsia="Times New Roman" w:hAnsi="Times New Roman"/>
          <w:sz w:val="24"/>
          <w:szCs w:val="24"/>
          <w:lang w:eastAsia="en-ID"/>
        </w:rPr>
      </w:pPr>
      <w:r w:rsidRPr="00526D76">
        <w:rPr>
          <w:rFonts w:ascii="Times New Roman" w:hAnsi="Times New Roman"/>
          <w:sz w:val="24"/>
          <w:szCs w:val="24"/>
        </w:rPr>
        <w:t xml:space="preserve">The empirical findings of this study reveal that Internal Locus of Control (ILC) exerts a negative and significant influence on Financial Fraud Tendency (FFT) among village officials in Deli Serdang Regency. This indicates that the higher the level of ILC, the lower the likelihood of a village official engaging in fraudulent activities related to financial reporting. This result is consistent with </w:t>
      </w:r>
      <w:r>
        <w:rPr>
          <w:rFonts w:ascii="Times New Roman" w:hAnsi="Times New Roman"/>
          <w:sz w:val="24"/>
          <w:szCs w:val="24"/>
        </w:rPr>
        <w:t>previous</w:t>
      </w:r>
      <w:r w:rsidRPr="00526D76">
        <w:rPr>
          <w:rFonts w:ascii="Times New Roman" w:hAnsi="Times New Roman"/>
          <w:sz w:val="24"/>
          <w:szCs w:val="24"/>
        </w:rPr>
        <w:t xml:space="preserve"> studies, which suggest that ILC influences financial fraud behavior, as individuals with strong internal control beliefs are more confident in their ability to manage problems and refrain from fraudulent conduct in the financial sector</w:t>
      </w:r>
      <w:r>
        <w:rPr>
          <w:rFonts w:ascii="Times New Roman" w:hAnsi="Times New Roman"/>
          <w:sz w:val="24"/>
          <w:szCs w:val="24"/>
        </w:rPr>
        <w:t xml:space="preserve"> </w:t>
      </w:r>
      <w:r w:rsidRPr="00526D76">
        <w:rPr>
          <w:rFonts w:ascii="Times New Roman" w:eastAsia="Times New Roman" w:hAnsi="Times New Roman"/>
          <w:sz w:val="24"/>
          <w:szCs w:val="24"/>
          <w:lang w:eastAsia="en-ID"/>
        </w:rPr>
        <w:fldChar w:fldCharType="begin" w:fldLock="1"/>
      </w:r>
      <w:r w:rsidRPr="00526D76">
        <w:rPr>
          <w:rFonts w:ascii="Times New Roman" w:eastAsia="Times New Roman" w:hAnsi="Times New Roman"/>
          <w:sz w:val="24"/>
          <w:szCs w:val="24"/>
          <w:lang w:eastAsia="en-ID"/>
        </w:rPr>
        <w:instrText>ADDIN CSL_CITATION {"citationItems":[{"id":"ITEM-1","itemData":{"DOI":"10.23887/vjra.v12i2.61921","ISSN":"2337-537X","abstract":"Penelitian ini bertujuan untuk mengetahui pengaruh pengendalian internal, internal locus of control dan bystander effect terhadap kecurangan. Penelitian ini merupakan jenis penelitian kuantitatif dengan jumlah responden sebanyak 117 pengurus Lembaga Perkreditan Desa di Kecamatan Kintamani. Sampel dipilih menggunakan kriteria dengan teknik purposive sampling. Data yang digunakan adalah data primer diperoleh dari penyebaran kuesioner secara langsung kepada responden. Teknik analisis data yang digunakan analisis regresi linier berganda yang diolah menggunakan SPSS versi 20. Hasil penelitian menunjukkan pengendalian internal berpengaruh negatif dan signifikan terhadap kecurangan, internal locus of control berpengaruh negatif dan signifikan terhadap kecurangan, serta bystander effect berpengaruh positif dan signifikan terhadap kecurangan. Uji koefisien determinasi menunjukkan variabel pengendalian internal, internal locus of control dan bystander effect mampu menjelaskan kecurangan sebesar 37,1 persen. Berdasarkan hasil penelitian tersebut, rekomendasi perbaikan penelitian ini difokuskan untuk menambahkan variabel independen lainnya, seperti kesesuaian kompensasi dan moralitas manajemen, sehingga hasil penelitian dapat meningkatkan nilai koefisien determinasi.","author":[{"dropping-particle":"","family":"Ganeuari","given":"Ni Putu Dian","non-dropping-particle":"","parse-names":false,"suffix":""},{"dropping-particle":"","family":"Adiputra","given":"I Made Pradana","non-dropping-particle":"","parse-names":false,"suffix":""}],"container-title":"Vokasi : Jurnal Riset Akuntansi","id":"ITEM-1","issue":"2","issued":{"date-parts":[["2023"]]},"page":"86-95","title":"Pengaruh Pengendalian Internal, Internal Locus of Control, Dan Bystander Effect Terhadap Kecurangan Pada Lembaga Perkreditan Desa Di Kecamatan Kintamani","type":"article-journal","volume":"12"},"uris":["http://www.mendeley.com/documents/?uuid=9af7a1d8-41ce-4091-b4b8-674e38141599"]}],"mendeley":{"formattedCitation":"(Ganeuari &amp; Adiputra, 2023)","plainTextFormattedCitation":"(Ganeuari &amp; Adiputra, 2023)","previouslyFormattedCitation":"(Ganeuari &amp; Adiputra, 2023)"},"properties":{"noteIndex":0},"schema":"https://github.com/citation-style-language/schema/raw/master/csl-citation.json"}</w:instrText>
      </w:r>
      <w:r w:rsidRPr="00526D76">
        <w:rPr>
          <w:rFonts w:ascii="Times New Roman" w:eastAsia="Times New Roman" w:hAnsi="Times New Roman"/>
          <w:sz w:val="24"/>
          <w:szCs w:val="24"/>
          <w:lang w:eastAsia="en-ID"/>
        </w:rPr>
        <w:fldChar w:fldCharType="separate"/>
      </w:r>
      <w:r w:rsidRPr="00526D76">
        <w:rPr>
          <w:rFonts w:ascii="Times New Roman" w:eastAsia="Times New Roman" w:hAnsi="Times New Roman"/>
          <w:noProof/>
          <w:sz w:val="24"/>
          <w:szCs w:val="24"/>
          <w:lang w:eastAsia="en-ID"/>
        </w:rPr>
        <w:t>(Ganeuari &amp; Adiputra, 2023)</w:t>
      </w:r>
      <w:r w:rsidRPr="00526D76">
        <w:rPr>
          <w:rFonts w:ascii="Times New Roman" w:eastAsia="Times New Roman" w:hAnsi="Times New Roman"/>
          <w:sz w:val="24"/>
          <w:szCs w:val="24"/>
          <w:lang w:eastAsia="en-ID"/>
        </w:rPr>
        <w:fldChar w:fldCharType="end"/>
      </w:r>
      <w:r>
        <w:rPr>
          <w:rFonts w:ascii="Times New Roman" w:eastAsia="Times New Roman" w:hAnsi="Times New Roman"/>
          <w:sz w:val="24"/>
          <w:szCs w:val="24"/>
          <w:lang w:eastAsia="en-ID"/>
        </w:rPr>
        <w:t xml:space="preserve">. </w:t>
      </w:r>
      <w:r w:rsidRPr="00526D76">
        <w:rPr>
          <w:rFonts w:ascii="Times New Roman" w:eastAsia="Times New Roman" w:hAnsi="Times New Roman"/>
          <w:sz w:val="24"/>
          <w:szCs w:val="24"/>
          <w:lang w:eastAsia="en-ID"/>
        </w:rPr>
        <w:t>Furthermore, individuals with a high internal locus of control are better able to determine outcomes through their own efforts and abilities</w:t>
      </w:r>
      <w:r>
        <w:rPr>
          <w:rFonts w:ascii="Times New Roman" w:eastAsia="Times New Roman" w:hAnsi="Times New Roman"/>
          <w:sz w:val="24"/>
          <w:szCs w:val="24"/>
          <w:lang w:eastAsia="en-ID"/>
        </w:rPr>
        <w:t xml:space="preserve"> </w:t>
      </w:r>
      <w:r w:rsidRPr="00526D76">
        <w:rPr>
          <w:rFonts w:ascii="Times New Roman" w:eastAsia="Times New Roman" w:hAnsi="Times New Roman"/>
          <w:sz w:val="24"/>
          <w:szCs w:val="24"/>
          <w:lang w:eastAsia="en-ID"/>
        </w:rPr>
        <w:fldChar w:fldCharType="begin" w:fldLock="1"/>
      </w:r>
      <w:r w:rsidRPr="00526D76">
        <w:rPr>
          <w:rFonts w:ascii="Times New Roman" w:eastAsia="Times New Roman" w:hAnsi="Times New Roman"/>
          <w:sz w:val="24"/>
          <w:szCs w:val="24"/>
          <w:lang w:eastAsia="en-ID"/>
        </w:rPr>
        <w:instrText>ADDIN CSL_CITATION {"citationItems":[{"id":"ITEM-1","itemData":{"DOI":"10.32795/hak.v2i1.1507","abstract":"The tendency of accounting fraud is fraud caused by an error in reporting in financial reporting or an intentional act identical to corruption, misuse of assets and false questions. This study aims to determine the effect of internal variables locus of control, external locus of control and individual morality on the tendency of accounting fraud in OPD Badung Regency. This research was conducted using the results of a questionnaire instrument survey. The sample studied was 114 respondents with a purposive sampling technique using criteria. The results of hypothesis testing show that the internal locus of control and external locus of control variables have a significant effect on the tendency of accounting fraud, while individual morality does not have a significant effect on the tendency of accounting fraud in OPD Badung Regency","author":[{"dropping-particle":"","family":"Dewi","given":"I Gusti Agung Oka Kristina","non-dropping-particle":"","parse-names":false,"suffix":""},{"dropping-particle":"","family":"Sudiana","given":"I Wayan","non-dropping-particle":"","parse-names":false,"suffix":""},{"dropping-particle":"","family":"Putra","given":"I Putu Deddy Samtika","non-dropping-particle":"","parse-names":false,"suffix":""}],"container-title":"Hita Akuntansi dan Keuangan","id":"ITEM-1","issue":"1","issued":{"date-parts":[["2021"]]},"title":"Pengaruh Locus Of Control Dan Moralitas Individu Terhadap Kecendrungan Kecurangan Akuntansi","type":"article-journal","volume":"2"},"uris":["http://www.mendeley.com/documents/?uuid=3a2951b1-d073-3533-8be1-0bb6527a7fb7"]}],"mendeley":{"formattedCitation":"(I. G. A. O. K. Dewi et al., 2021)","manualFormatting":"(Dewi et al., 2021)","plainTextFormattedCitation":"(I. G. A. O. K. Dewi et al., 2021)","previouslyFormattedCitation":"(I. G. A. O. K. Dewi et al., 2021)"},"properties":{"noteIndex":0},"schema":"https://github.com/citation-style-language/schema/raw/master/csl-citation.json"}</w:instrText>
      </w:r>
      <w:r w:rsidRPr="00526D76">
        <w:rPr>
          <w:rFonts w:ascii="Times New Roman" w:eastAsia="Times New Roman" w:hAnsi="Times New Roman"/>
          <w:sz w:val="24"/>
          <w:szCs w:val="24"/>
          <w:lang w:eastAsia="en-ID"/>
        </w:rPr>
        <w:fldChar w:fldCharType="separate"/>
      </w:r>
      <w:r w:rsidRPr="00526D76">
        <w:rPr>
          <w:rFonts w:ascii="Times New Roman" w:eastAsia="Times New Roman" w:hAnsi="Times New Roman"/>
          <w:noProof/>
          <w:sz w:val="24"/>
          <w:szCs w:val="24"/>
          <w:lang w:eastAsia="en-ID"/>
        </w:rPr>
        <w:t>(Dewi et al., 2021)</w:t>
      </w:r>
      <w:r w:rsidRPr="00526D76">
        <w:rPr>
          <w:rFonts w:ascii="Times New Roman" w:eastAsia="Times New Roman" w:hAnsi="Times New Roman"/>
          <w:sz w:val="24"/>
          <w:szCs w:val="24"/>
          <w:lang w:eastAsia="en-ID"/>
        </w:rPr>
        <w:fldChar w:fldCharType="end"/>
      </w:r>
      <w:r w:rsidRPr="00526D76">
        <w:rPr>
          <w:rFonts w:ascii="Times New Roman" w:eastAsia="Times New Roman" w:hAnsi="Times New Roman"/>
          <w:sz w:val="24"/>
          <w:szCs w:val="24"/>
          <w:lang w:eastAsia="en-ID"/>
        </w:rPr>
        <w:t>. However, thi</w:t>
      </w:r>
      <w:r>
        <w:rPr>
          <w:rFonts w:ascii="Times New Roman" w:eastAsia="Times New Roman" w:hAnsi="Times New Roman"/>
          <w:sz w:val="24"/>
          <w:szCs w:val="24"/>
          <w:lang w:eastAsia="en-ID"/>
        </w:rPr>
        <w:t>s finding contrasts with</w:t>
      </w:r>
      <w:r w:rsidRPr="00526D76">
        <w:rPr>
          <w:rFonts w:ascii="Times New Roman" w:eastAsia="Times New Roman" w:hAnsi="Times New Roman"/>
          <w:sz w:val="24"/>
          <w:szCs w:val="24"/>
          <w:lang w:eastAsia="en-ID"/>
        </w:rPr>
        <w:t xml:space="preserve"> </w:t>
      </w:r>
      <w:r w:rsidRPr="00526D76">
        <w:rPr>
          <w:rFonts w:ascii="Times New Roman" w:eastAsia="Times New Roman" w:hAnsi="Times New Roman"/>
          <w:sz w:val="24"/>
          <w:szCs w:val="24"/>
          <w:lang w:eastAsia="en-ID"/>
        </w:rPr>
        <w:fldChar w:fldCharType="begin" w:fldLock="1"/>
      </w:r>
      <w:r w:rsidRPr="00526D76">
        <w:rPr>
          <w:rFonts w:ascii="Times New Roman" w:eastAsia="Times New Roman" w:hAnsi="Times New Roman"/>
          <w:sz w:val="24"/>
          <w:szCs w:val="24"/>
          <w:lang w:eastAsia="en-ID"/>
        </w:rPr>
        <w:instrText>ADDIN CSL_CITATION {"citationItems":[{"id":"ITEM-1","itemData":{"DOI":"10.24036/jea.v4i2.536","abstract":"The purpose of this study was to examine the effect of emotional intelligence, spiritual intelligence, and locus of control on the tendency of accounting fraud. The population in this study is the regional work unit in Tanah Datar Regency, totaling 24 SKPD, and the respondents are the head of the office, the head of the finance department, and staff from each SKPD. The research design used in this study is a quantitative approach using primary data. Primary data was obtained by distributing questionnaires directly to 72 respondents. The data was then analyzed using multiple linear regression techniques. The results of this study are (1) emotional intelligence has no effect on the tendency of accounting fraud in the Regional Work Unit (SKPD) of Tanah Datar Regency, (2) spiritual intelligence has a negative and significant effect on the tendency of accounting fraud in the regional work unit (SKPD) of Tanah Datar Regency. (3) Internal locus of control has no effect on the tendency of accounting fraud in the regional work unit (SKPD) of Tanah Datar Regency.","author":[{"dropping-particle":"","family":"Fausta","given":"Gian Javier","non-dropping-particle":"","parse-names":false,"suffix":""},{"dropping-particle":"","family":"Nelvirita","given":"Nelvirita","non-dropping-particle":"","parse-names":false,"suffix":""}],"container-title":"JURNAL EKSPLORASI AKUNTANSI","id":"ITEM-1","issue":"2","issued":{"date-parts":[["2022"]]},"title":"Pengaruh Kecerdasan Emosional, Kecerdasan Spiritual, dan Locus of Control terhadap Kecenderungan Kecurangan Akuntansi","type":"article-journal","volume":"4"},"uris":["http://www.mendeley.com/documents/?uuid=83d7f678-caa9-3a1e-922e-3363475e4a26"]}],"mendeley":{"formattedCitation":"(Fausta &amp; Nelvirita, 2022)","manualFormatting":"Fausta &amp; Nelvirita (2022)","plainTextFormattedCitation":"(Fausta &amp; Nelvirita, 2022)","previouslyFormattedCitation":"(Fausta &amp; Nelvirita, 2022)"},"properties":{"noteIndex":0},"schema":"https://github.com/citation-style-language/schema/raw/master/csl-citation.json"}</w:instrText>
      </w:r>
      <w:r w:rsidRPr="00526D76">
        <w:rPr>
          <w:rFonts w:ascii="Times New Roman" w:eastAsia="Times New Roman" w:hAnsi="Times New Roman"/>
          <w:sz w:val="24"/>
          <w:szCs w:val="24"/>
          <w:lang w:eastAsia="en-ID"/>
        </w:rPr>
        <w:fldChar w:fldCharType="separate"/>
      </w:r>
      <w:r w:rsidRPr="00526D76">
        <w:rPr>
          <w:rFonts w:ascii="Times New Roman" w:eastAsia="Times New Roman" w:hAnsi="Times New Roman"/>
          <w:noProof/>
          <w:sz w:val="24"/>
          <w:szCs w:val="24"/>
          <w:lang w:eastAsia="en-ID"/>
        </w:rPr>
        <w:t>Fausta &amp; Nelvirita (2022)</w:t>
      </w:r>
      <w:r w:rsidRPr="00526D76">
        <w:rPr>
          <w:rFonts w:ascii="Times New Roman" w:eastAsia="Times New Roman" w:hAnsi="Times New Roman"/>
          <w:sz w:val="24"/>
          <w:szCs w:val="24"/>
          <w:lang w:eastAsia="en-ID"/>
        </w:rPr>
        <w:fldChar w:fldCharType="end"/>
      </w:r>
      <w:r>
        <w:rPr>
          <w:rFonts w:ascii="Times New Roman" w:eastAsia="Times New Roman" w:hAnsi="Times New Roman"/>
          <w:sz w:val="24"/>
          <w:szCs w:val="24"/>
          <w:lang w:eastAsia="en-ID"/>
        </w:rPr>
        <w:t xml:space="preserve">, </w:t>
      </w:r>
      <w:r w:rsidRPr="00526D76">
        <w:rPr>
          <w:rFonts w:ascii="Times New Roman" w:eastAsia="Times New Roman" w:hAnsi="Times New Roman"/>
          <w:sz w:val="24"/>
          <w:szCs w:val="24"/>
          <w:lang w:eastAsia="en-ID"/>
        </w:rPr>
        <w:t>who reported no significant relationship between internal locus of control and financial fraud tendency. Such discrepancies may be attributable to contextual differences, variations in measurement instruments, or differences in the professional environment of the respondents.</w:t>
      </w:r>
    </w:p>
    <w:p w14:paraId="5D172C37" w14:textId="43715821" w:rsidR="00801914" w:rsidRDefault="00801914" w:rsidP="00801914">
      <w:pPr>
        <w:widowControl/>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r w:rsidRPr="00526D76">
        <w:rPr>
          <w:rFonts w:ascii="Times New Roman" w:eastAsia="Times New Roman" w:hAnsi="Times New Roman"/>
          <w:sz w:val="24"/>
          <w:szCs w:val="24"/>
          <w:lang w:eastAsia="en-ID"/>
        </w:rPr>
        <w:t xml:space="preserve">The results also demonstrate that financial behavior (FB) has a negative and significant effect on FFT. This finding suggests that unhealthy financial behavior can </w:t>
      </w:r>
      <w:r>
        <w:rPr>
          <w:rFonts w:ascii="Times New Roman" w:eastAsia="Times New Roman" w:hAnsi="Times New Roman"/>
          <w:sz w:val="24"/>
          <w:szCs w:val="24"/>
          <w:lang w:eastAsia="en-ID"/>
        </w:rPr>
        <w:t>lead</w:t>
      </w:r>
      <w:r w:rsidRPr="00526D76">
        <w:rPr>
          <w:rFonts w:ascii="Times New Roman" w:eastAsia="Times New Roman" w:hAnsi="Times New Roman"/>
          <w:sz w:val="24"/>
          <w:szCs w:val="24"/>
          <w:lang w:eastAsia="en-ID"/>
        </w:rPr>
        <w:t xml:space="preserve"> an individual’s </w:t>
      </w:r>
      <w:r>
        <w:rPr>
          <w:rFonts w:ascii="Times New Roman" w:eastAsia="Times New Roman" w:hAnsi="Times New Roman"/>
          <w:sz w:val="24"/>
          <w:szCs w:val="24"/>
          <w:lang w:eastAsia="en-ID"/>
        </w:rPr>
        <w:t>tendency</w:t>
      </w:r>
      <w:r w:rsidRPr="00526D76">
        <w:rPr>
          <w:rFonts w:ascii="Times New Roman" w:eastAsia="Times New Roman" w:hAnsi="Times New Roman"/>
          <w:sz w:val="24"/>
          <w:szCs w:val="24"/>
          <w:lang w:eastAsia="en-ID"/>
        </w:rPr>
        <w:t xml:space="preserve"> to commit fraud in financial reporting. The result aligns with the </w:t>
      </w:r>
      <w:r>
        <w:rPr>
          <w:rFonts w:ascii="Times New Roman" w:eastAsia="Times New Roman" w:hAnsi="Times New Roman"/>
          <w:sz w:val="24"/>
          <w:szCs w:val="24"/>
          <w:lang w:eastAsia="en-ID"/>
        </w:rPr>
        <w:t>research</w:t>
      </w:r>
      <w:r w:rsidRPr="00526D76">
        <w:rPr>
          <w:rFonts w:ascii="Times New Roman" w:eastAsia="Times New Roman" w:hAnsi="Times New Roman"/>
          <w:sz w:val="24"/>
          <w:szCs w:val="24"/>
          <w:lang w:eastAsia="en-ID"/>
        </w:rPr>
        <w:t xml:space="preserve"> </w:t>
      </w:r>
      <w:r>
        <w:rPr>
          <w:rFonts w:ascii="Times New Roman" w:eastAsia="Times New Roman" w:hAnsi="Times New Roman"/>
          <w:sz w:val="24"/>
          <w:szCs w:val="24"/>
          <w:lang w:eastAsia="en-ID"/>
        </w:rPr>
        <w:t xml:space="preserve">by </w:t>
      </w:r>
      <w:r w:rsidRPr="00526D76">
        <w:rPr>
          <w:rFonts w:ascii="Times New Roman" w:eastAsia="Times New Roman" w:hAnsi="Times New Roman"/>
          <w:sz w:val="24"/>
          <w:szCs w:val="24"/>
          <w:lang w:eastAsia="en-ID"/>
        </w:rPr>
        <w:fldChar w:fldCharType="begin" w:fldLock="1"/>
      </w:r>
      <w:r w:rsidRPr="00526D76">
        <w:rPr>
          <w:rFonts w:ascii="Times New Roman" w:eastAsia="Times New Roman" w:hAnsi="Times New Roman"/>
          <w:sz w:val="24"/>
          <w:szCs w:val="24"/>
          <w:lang w:eastAsia="en-ID"/>
        </w:rPr>
        <w:instrText>ADDIN CSL_CITATION {"citationItems":[{"id":"ITEM-1","itemData":{"DOI":"10.3390/su131910926","ISSN":"20711050","abstract":"This paper analyzes the effect of financial knowledge and confidence in shaping individual investment choices, sustainable debt behavior, and preferences for socially and environmentally responsible financial companies. Exploiting data from the “Italian Literacy and Financial Compe-tence Survey” (IACOFI) carried out by the Bank of Italy in early 2020, we address potential endoge-neity concerns in order to investigate the causal effect of objective financial knowledge on individual financial behaviors. To this aim, we perform endogenous probit regressions, using the respondent’s long-term planning attitude, the use of information and communication technology devices, and the financial knowledge of peers as additional instrumental variables. Our main empirical findings show that objective financial knowledge exerts a positive and significant effect on financial market participation and preferences for ethical financial companies. Moreover, we provide strong empirical evidence about the role of confidence biases on individual financial behaviors. In particular, overconfident individuals display a higher probability of making financial investments, experienc-ing losses due to investment fraud, and being over-indebted. Conversely, underconfident individuals exhibit suboptimal investment choices, but are less likely to engage in risky financial behaviors.","author":[{"dropping-particle":"","family":"Aristei","given":"David","non-dropping-particle":"","parse-names":false,"suffix":""},{"dropping-particle":"","family":"Gallo","given":"Manuela","non-dropping-particle":"","parse-names":false,"suffix":""}],"container-title":"Sustainability (Switzerland)","id":"ITEM-1","issue":"19","issued":{"date-parts":[["2021"]]},"title":"Financial knowledge, confidence, and sustainable financial behavior","type":"article-journal","volume":"13"},"uris":["http://www.mendeley.com/documents/?uuid=ba289ca4-879d-3c9c-9119-1f8503854b25"]}],"mendeley":{"formattedCitation":"(Aristei &amp; Gallo, 2021)","manualFormatting":"Aristei &amp; Gallo (2021)","plainTextFormattedCitation":"(Aristei &amp; Gallo, 2021)","previouslyFormattedCitation":"(Aristei &amp; Gallo, 2021)"},"properties":{"noteIndex":0},"schema":"https://github.com/citation-style-language/schema/raw/master/csl-citation.json"}</w:instrText>
      </w:r>
      <w:r w:rsidRPr="00526D76">
        <w:rPr>
          <w:rFonts w:ascii="Times New Roman" w:eastAsia="Times New Roman" w:hAnsi="Times New Roman"/>
          <w:sz w:val="24"/>
          <w:szCs w:val="24"/>
          <w:lang w:eastAsia="en-ID"/>
        </w:rPr>
        <w:fldChar w:fldCharType="separate"/>
      </w:r>
      <w:r w:rsidRPr="00526D76">
        <w:rPr>
          <w:rFonts w:ascii="Times New Roman" w:eastAsia="Times New Roman" w:hAnsi="Times New Roman"/>
          <w:noProof/>
          <w:sz w:val="24"/>
          <w:szCs w:val="24"/>
          <w:lang w:eastAsia="en-ID"/>
        </w:rPr>
        <w:t>Aristei &amp; Gallo (2021)</w:t>
      </w:r>
      <w:r w:rsidRPr="00526D76">
        <w:rPr>
          <w:rFonts w:ascii="Times New Roman" w:eastAsia="Times New Roman" w:hAnsi="Times New Roman"/>
          <w:sz w:val="24"/>
          <w:szCs w:val="24"/>
          <w:lang w:eastAsia="en-ID"/>
        </w:rPr>
        <w:fldChar w:fldCharType="end"/>
      </w:r>
      <w:r>
        <w:rPr>
          <w:rFonts w:ascii="Times New Roman" w:eastAsia="Times New Roman" w:hAnsi="Times New Roman"/>
          <w:sz w:val="24"/>
          <w:szCs w:val="24"/>
          <w:lang w:eastAsia="en-ID"/>
        </w:rPr>
        <w:t>,</w:t>
      </w:r>
      <w:r w:rsidRPr="00526D76">
        <w:rPr>
          <w:rFonts w:ascii="Times New Roman" w:eastAsia="Times New Roman" w:hAnsi="Times New Roman"/>
          <w:sz w:val="24"/>
          <w:szCs w:val="24"/>
          <w:lang w:eastAsia="en-ID"/>
        </w:rPr>
        <w:t xml:space="preserve"> </w:t>
      </w:r>
      <w:r>
        <w:rPr>
          <w:rFonts w:ascii="Times New Roman" w:eastAsia="Times New Roman" w:hAnsi="Times New Roman"/>
          <w:sz w:val="24"/>
          <w:szCs w:val="24"/>
          <w:lang w:eastAsia="en-ID"/>
        </w:rPr>
        <w:t>which states</w:t>
      </w:r>
      <w:r w:rsidRPr="00526D76">
        <w:rPr>
          <w:rFonts w:ascii="Times New Roman" w:eastAsia="Times New Roman" w:hAnsi="Times New Roman"/>
          <w:sz w:val="24"/>
          <w:szCs w:val="24"/>
          <w:lang w:eastAsia="en-ID"/>
        </w:rPr>
        <w:t xml:space="preserve"> th</w:t>
      </w:r>
      <w:r>
        <w:rPr>
          <w:rFonts w:ascii="Times New Roman" w:eastAsia="Times New Roman" w:hAnsi="Times New Roman"/>
          <w:sz w:val="24"/>
          <w:szCs w:val="24"/>
          <w:lang w:eastAsia="en-ID"/>
        </w:rPr>
        <w:t xml:space="preserve">at unhealthy financial </w:t>
      </w:r>
      <w:proofErr w:type="spellStart"/>
      <w:r>
        <w:rPr>
          <w:rFonts w:ascii="Times New Roman" w:eastAsia="Times New Roman" w:hAnsi="Times New Roman"/>
          <w:sz w:val="24"/>
          <w:szCs w:val="24"/>
          <w:lang w:eastAsia="en-ID"/>
        </w:rPr>
        <w:t>behaviour</w:t>
      </w:r>
      <w:proofErr w:type="spellEnd"/>
      <w:r>
        <w:rPr>
          <w:rFonts w:ascii="Times New Roman" w:eastAsia="Times New Roman" w:hAnsi="Times New Roman"/>
          <w:sz w:val="24"/>
          <w:szCs w:val="24"/>
          <w:lang w:eastAsia="en-ID"/>
        </w:rPr>
        <w:t xml:space="preserve">, </w:t>
      </w:r>
      <w:r w:rsidRPr="00526D76">
        <w:rPr>
          <w:rFonts w:ascii="Times New Roman" w:eastAsia="Times New Roman" w:hAnsi="Times New Roman"/>
          <w:sz w:val="24"/>
          <w:szCs w:val="24"/>
          <w:lang w:eastAsia="en-ID"/>
        </w:rPr>
        <w:t xml:space="preserve">characterized by poor control over consumption, inability </w:t>
      </w:r>
      <w:r w:rsidRPr="00117580">
        <w:rPr>
          <w:rFonts w:ascii="Times New Roman" w:eastAsia="Times New Roman" w:hAnsi="Times New Roman"/>
          <w:sz w:val="24"/>
          <w:szCs w:val="24"/>
          <w:lang w:eastAsia="en-ID"/>
        </w:rPr>
        <w:t>to set aside income</w:t>
      </w:r>
      <w:r w:rsidRPr="00526D76">
        <w:rPr>
          <w:rFonts w:ascii="Times New Roman" w:eastAsia="Times New Roman" w:hAnsi="Times New Roman"/>
          <w:sz w:val="24"/>
          <w:szCs w:val="24"/>
          <w:lang w:eastAsia="en-ID"/>
        </w:rPr>
        <w:t>,</w:t>
      </w:r>
      <w:r>
        <w:rPr>
          <w:rFonts w:ascii="Times New Roman" w:eastAsia="Times New Roman" w:hAnsi="Times New Roman"/>
          <w:sz w:val="24"/>
          <w:szCs w:val="24"/>
          <w:lang w:eastAsia="en-ID"/>
        </w:rPr>
        <w:t xml:space="preserve"> and lack of financial planning, </w:t>
      </w:r>
      <w:r w:rsidRPr="00526D76">
        <w:rPr>
          <w:rFonts w:ascii="Times New Roman" w:eastAsia="Times New Roman" w:hAnsi="Times New Roman"/>
          <w:sz w:val="24"/>
          <w:szCs w:val="24"/>
          <w:lang w:eastAsia="en-ID"/>
        </w:rPr>
        <w:t xml:space="preserve">can undermine decision-making and increase susceptibility to unethical conduct. </w:t>
      </w:r>
      <w:r>
        <w:rPr>
          <w:rFonts w:ascii="Times New Roman" w:eastAsia="Times New Roman" w:hAnsi="Times New Roman"/>
          <w:sz w:val="24"/>
          <w:szCs w:val="24"/>
          <w:lang w:eastAsia="en-ID"/>
        </w:rPr>
        <w:t>Otherwise</w:t>
      </w:r>
      <w:r w:rsidRPr="00526D76">
        <w:rPr>
          <w:rFonts w:ascii="Times New Roman" w:eastAsia="Times New Roman" w:hAnsi="Times New Roman"/>
          <w:sz w:val="24"/>
          <w:szCs w:val="24"/>
          <w:lang w:eastAsia="en-ID"/>
        </w:rPr>
        <w:t xml:space="preserve">, healthy and responsible financial behavior can deter village officials from engaging in fraudulent acts. </w:t>
      </w:r>
      <w:r>
        <w:rPr>
          <w:rFonts w:ascii="Times New Roman" w:eastAsia="Times New Roman" w:hAnsi="Times New Roman"/>
          <w:sz w:val="24"/>
          <w:szCs w:val="24"/>
          <w:lang w:eastAsia="en-ID"/>
        </w:rPr>
        <w:t>Align</w:t>
      </w:r>
      <w:r w:rsidRPr="00526D76">
        <w:rPr>
          <w:rFonts w:ascii="Times New Roman" w:eastAsia="Times New Roman" w:hAnsi="Times New Roman"/>
          <w:sz w:val="24"/>
          <w:szCs w:val="24"/>
          <w:lang w:eastAsia="en-ID"/>
        </w:rPr>
        <w:t xml:space="preserve"> with </w:t>
      </w:r>
      <w:r w:rsidRPr="00526D76">
        <w:rPr>
          <w:rFonts w:ascii="Times New Roman" w:eastAsia="Times New Roman" w:hAnsi="Times New Roman"/>
          <w:sz w:val="24"/>
          <w:szCs w:val="24"/>
          <w:lang w:eastAsia="en-ID"/>
        </w:rPr>
        <w:fldChar w:fldCharType="begin" w:fldLock="1"/>
      </w:r>
      <w:r w:rsidRPr="00526D76">
        <w:rPr>
          <w:rFonts w:ascii="Times New Roman" w:eastAsia="Times New Roman" w:hAnsi="Times New Roman"/>
          <w:sz w:val="24"/>
          <w:szCs w:val="24"/>
          <w:lang w:eastAsia="en-ID"/>
        </w:rPr>
        <w:instrText>ADDIN CSL_CITATION {"citationItems":[{"id":"ITEM-1","itemData":{"DOI":"10.22219/jep.v22i01.29654","ISSN":"1693-2595","abstract":"Good financial behavior will encourage the creation of financial satisfaction and can be a factor that will increase financial well-being. Financial satisfaction can include one's life satisfaction with financial amounts. Financial well-being is the possession of sufficient resources for a comfortable life. This study aims to examine financial behavior that influences financial well-being, both directly and indirectly. The selected population is stock investors. Investors are selected using quota sampling. The data analysis used is path analysis. The results of the study report that financial behavior has a significant effect on financial satisfaction and well-being, but financial behavior does not affect financial well-being. Financial satisfaction mediates the impact of Financial behavior on Financial well-being.","author":[{"dropping-particle":"","family":"Subaida","given":"Ida","non-dropping-particle":"","parse-names":false,"suffix":""}],"container-title":"Jurnal Ekonomi Pembangunan","id":"ITEM-1","issue":"01","issued":{"date-parts":[["2024"]]},"page":"30-39","title":"The Influence of Financial Behavior on Financial Well-Being Through Financial Satisfaction","type":"article-journal","volume":"22"},"uris":["http://www.mendeley.com/documents/?uuid=0061f570-dfbf-41d5-b9ac-734021b0a004"]}],"mendeley":{"formattedCitation":"(Subaida, 2024)","manualFormatting":"Subaida (2024)","plainTextFormattedCitation":"(Subaida, 2024)","previouslyFormattedCitation":"(Subaida, 2024)"},"properties":{"noteIndex":0},"schema":"https://github.com/citation-style-language/schema/raw/master/csl-citation.json"}</w:instrText>
      </w:r>
      <w:r w:rsidRPr="00526D76">
        <w:rPr>
          <w:rFonts w:ascii="Times New Roman" w:eastAsia="Times New Roman" w:hAnsi="Times New Roman"/>
          <w:sz w:val="24"/>
          <w:szCs w:val="24"/>
          <w:lang w:eastAsia="en-ID"/>
        </w:rPr>
        <w:fldChar w:fldCharType="separate"/>
      </w:r>
      <w:r w:rsidRPr="00526D76">
        <w:rPr>
          <w:rFonts w:ascii="Times New Roman" w:eastAsia="Times New Roman" w:hAnsi="Times New Roman"/>
          <w:noProof/>
          <w:sz w:val="24"/>
          <w:szCs w:val="24"/>
          <w:lang w:eastAsia="en-ID"/>
        </w:rPr>
        <w:t>Subaida (2024)</w:t>
      </w:r>
      <w:r w:rsidRPr="00526D76">
        <w:rPr>
          <w:rFonts w:ascii="Times New Roman" w:eastAsia="Times New Roman" w:hAnsi="Times New Roman"/>
          <w:sz w:val="24"/>
          <w:szCs w:val="24"/>
          <w:lang w:eastAsia="en-ID"/>
        </w:rPr>
        <w:fldChar w:fldCharType="end"/>
      </w:r>
      <w:r w:rsidRPr="00526D76">
        <w:rPr>
          <w:rFonts w:ascii="Times New Roman" w:eastAsia="Times New Roman" w:hAnsi="Times New Roman"/>
          <w:sz w:val="24"/>
          <w:szCs w:val="24"/>
          <w:lang w:eastAsia="en-ID"/>
        </w:rPr>
        <w:t xml:space="preserve"> assertion that financial behavior plays a pivotal role in financial management decision-making and</w:t>
      </w:r>
      <w:r>
        <w:rPr>
          <w:rFonts w:ascii="Times New Roman" w:eastAsia="Times New Roman" w:hAnsi="Times New Roman"/>
          <w:sz w:val="24"/>
          <w:szCs w:val="24"/>
          <w:lang w:eastAsia="en-ID"/>
        </w:rPr>
        <w:t xml:space="preserve"> </w:t>
      </w:r>
      <w:r w:rsidRPr="00004C47">
        <w:rPr>
          <w:rFonts w:ascii="Times New Roman" w:eastAsia="Times New Roman" w:hAnsi="Times New Roman"/>
          <w:sz w:val="24"/>
          <w:szCs w:val="24"/>
          <w:lang w:eastAsia="en-ID"/>
        </w:rPr>
        <w:t>reduces financial anxiety</w:t>
      </w:r>
      <w:r w:rsidRPr="00526D76">
        <w:rPr>
          <w:rFonts w:ascii="Times New Roman" w:eastAsia="Times New Roman" w:hAnsi="Times New Roman"/>
          <w:sz w:val="24"/>
          <w:szCs w:val="24"/>
          <w:lang w:eastAsia="en-ID"/>
        </w:rPr>
        <w:t xml:space="preserve"> </w:t>
      </w:r>
      <w:r>
        <w:rPr>
          <w:rFonts w:ascii="Times New Roman" w:eastAsia="Times New Roman" w:hAnsi="Times New Roman"/>
          <w:sz w:val="24"/>
          <w:szCs w:val="24"/>
          <w:lang w:eastAsia="en-ID"/>
        </w:rPr>
        <w:t>(</w:t>
      </w:r>
      <w:r w:rsidRPr="00526D76">
        <w:rPr>
          <w:rFonts w:ascii="Times New Roman" w:eastAsia="Times New Roman" w:hAnsi="Times New Roman"/>
          <w:sz w:val="24"/>
          <w:szCs w:val="24"/>
          <w:lang w:eastAsia="en-ID"/>
        </w:rPr>
        <w:fldChar w:fldCharType="begin" w:fldLock="1"/>
      </w:r>
      <w:r>
        <w:rPr>
          <w:rFonts w:ascii="Times New Roman" w:eastAsia="Times New Roman" w:hAnsi="Times New Roman"/>
          <w:sz w:val="24"/>
          <w:szCs w:val="24"/>
          <w:lang w:eastAsia="en-ID"/>
        </w:rPr>
        <w:instrText>ADDIN CSL_CITATION {"citationItems":[{"id":"ITEM-1","itemData":{"DOI":"10.1371/journal.pone.0294466","ISSN":"19326203","abstract":"The topic of financial wellbeing is a current concern within the realm of personal and household finance. This study aims to examine the influence of cognitive factors, specifically financial literacy, mental budgeting, and self-control, on subjective financial wellbeing. While there exist multiple determinants of financial wellbeing, this research focuses on these particular cognitive factors. The present study aims to examine the mediating role of investment decision-making behavior in the association between cognitive factors and financial wellbeing. The study employed Partial Least Squares Structural Equation Modeling (PLS-SEM) to analyze the data collected from a sample of 449 Chinese university students, with the aim of assessing the empirical associations. The results indicate that financial literacy, mental budgeting, and self-control exert a favorable and noteworthy influence on an individual’s financial well-being. The results indicate that individuals with a greater degree of financial literacy are more prone to achieving superior financial well-being. Moreover, individuals who practice mental budgeting, a technique that entails mentally classifying and monitoring their expenditures, demonstrate elevated levels of financial well-being. Likewise, the exercise of self-regulation is identified as a pivotal element that impacts an individual’s financial wellbeing. The findings indicate that there is evidence to support the mediator, investment decision-making behavior. This mediator partially mediates the association between the independent variables, namely financial literacy, mental budgeting, and self-control, and financial well-being. The results suggest that individuals with elevated levels of financial literacy, proficient mental budgeting skills, and self-regulatory abilities are inclined towards demonstrating favorable investment decision-making conduct. Consequently, this contributes to their general financial welfare. In general, the study’s theoretical implications augment the current knowledge repository, while its practical implications provide feasible perspectives for policymakers, financial institutions, and individuals to foster financial wellness and enhance financial results.","author":[{"dropping-particle":"","family":"Bai","given":"Ruofan","non-dropping-particle":"","parse-names":false,"suffix":""}],"container-title":"PLoS ONE","id":"ITEM-1","issue":"11 November","issued":{"date-parts":[["2023"]]},"title":"Impact of financial literacy, mental budgeting and self control on financial wellbeing: Mediating impact of investment decision making","type":"article-journal","volume":"18"},"uris":["http://www.mendeley.com/documents/?uuid=784adacb-bdbd-320b-9a5c-b06375f16ba6"]}],"mendeley":{"formattedCitation":"(Bai, 2023)","manualFormatting":"Bai, 2023)","plainTextFormattedCitation":"(Bai, 2023)","previouslyFormattedCitation":"(Bai, 2023)"},"properties":{"noteIndex":0},"schema":"https://github.com/citation-style-language/schema/raw/master/csl-citation.json"}</w:instrText>
      </w:r>
      <w:r w:rsidRPr="00526D76">
        <w:rPr>
          <w:rFonts w:ascii="Times New Roman" w:eastAsia="Times New Roman" w:hAnsi="Times New Roman"/>
          <w:sz w:val="24"/>
          <w:szCs w:val="24"/>
          <w:lang w:eastAsia="en-ID"/>
        </w:rPr>
        <w:fldChar w:fldCharType="separate"/>
      </w:r>
      <w:r>
        <w:rPr>
          <w:rFonts w:ascii="Times New Roman" w:eastAsia="Times New Roman" w:hAnsi="Times New Roman"/>
          <w:noProof/>
          <w:sz w:val="24"/>
          <w:szCs w:val="24"/>
          <w:lang w:eastAsia="en-ID"/>
        </w:rPr>
        <w:t>Bai,</w:t>
      </w:r>
      <w:r w:rsidRPr="00526D76">
        <w:rPr>
          <w:rFonts w:ascii="Times New Roman" w:eastAsia="Times New Roman" w:hAnsi="Times New Roman"/>
          <w:noProof/>
          <w:sz w:val="24"/>
          <w:szCs w:val="24"/>
          <w:lang w:eastAsia="en-ID"/>
        </w:rPr>
        <w:t xml:space="preserve"> 2023)</w:t>
      </w:r>
      <w:r w:rsidRPr="00526D76">
        <w:rPr>
          <w:rFonts w:ascii="Times New Roman" w:eastAsia="Times New Roman" w:hAnsi="Times New Roman"/>
          <w:sz w:val="24"/>
          <w:szCs w:val="24"/>
          <w:lang w:eastAsia="en-ID"/>
        </w:rPr>
        <w:fldChar w:fldCharType="end"/>
      </w:r>
      <w:r w:rsidRPr="00004C47">
        <w:rPr>
          <w:rFonts w:ascii="Times New Roman" w:eastAsia="Times New Roman" w:hAnsi="Times New Roman"/>
          <w:sz w:val="24"/>
          <w:szCs w:val="24"/>
          <w:lang w:eastAsia="en-ID"/>
        </w:rPr>
        <w:t xml:space="preserve">. </w:t>
      </w:r>
      <w:r w:rsidRPr="00DF2F32">
        <w:rPr>
          <w:rFonts w:ascii="Times New Roman" w:eastAsia="Times New Roman" w:hAnsi="Times New Roman"/>
          <w:sz w:val="24"/>
          <w:szCs w:val="24"/>
          <w:lang w:eastAsia="en-ID"/>
        </w:rPr>
        <w:t xml:space="preserve">Given the substantial </w:t>
      </w:r>
      <w:r>
        <w:rPr>
          <w:rFonts w:ascii="Times New Roman" w:eastAsia="Times New Roman" w:hAnsi="Times New Roman"/>
          <w:sz w:val="24"/>
          <w:szCs w:val="24"/>
          <w:lang w:eastAsia="en-ID"/>
        </w:rPr>
        <w:t>large</w:t>
      </w:r>
      <w:r w:rsidRPr="00DF2F32">
        <w:rPr>
          <w:rFonts w:ascii="Times New Roman" w:eastAsia="Times New Roman" w:hAnsi="Times New Roman"/>
          <w:sz w:val="24"/>
          <w:szCs w:val="24"/>
          <w:lang w:eastAsia="en-ID"/>
        </w:rPr>
        <w:t xml:space="preserve"> of village funds managed, the potential for misuse becomes significant if not accompanied by sound financial behavior and strong internal control. Limited oversight mechanisms, both internal and external, often place village officials in a vulnerable position, </w:t>
      </w:r>
      <w:r w:rsidRPr="00DF2F32">
        <w:rPr>
          <w:rFonts w:ascii="Times New Roman" w:eastAsia="Times New Roman" w:hAnsi="Times New Roman"/>
          <w:sz w:val="24"/>
          <w:szCs w:val="24"/>
          <w:lang w:eastAsia="en-ID"/>
        </w:rPr>
        <w:lastRenderedPageBreak/>
        <w:t>increasing their susceptibility to financial fraud. Moreover, the growing trend of consumptive lifestyles among village officials can heighten financial pressures and drive them toward unet</w:t>
      </w:r>
      <w:r>
        <w:rPr>
          <w:rFonts w:ascii="Times New Roman" w:eastAsia="Times New Roman" w:hAnsi="Times New Roman"/>
          <w:sz w:val="24"/>
          <w:szCs w:val="24"/>
          <w:lang w:eastAsia="en-ID"/>
        </w:rPr>
        <w:t xml:space="preserve">hical or noncompliant shortcuts </w:t>
      </w:r>
      <w:r>
        <w:rPr>
          <w:rFonts w:ascii="Times New Roman" w:eastAsia="Times New Roman" w:hAnsi="Times New Roman"/>
          <w:sz w:val="24"/>
          <w:szCs w:val="24"/>
          <w:lang w:eastAsia="en-ID"/>
        </w:rPr>
        <w:fldChar w:fldCharType="begin" w:fldLock="1"/>
      </w:r>
      <w:r>
        <w:rPr>
          <w:rFonts w:ascii="Times New Roman" w:eastAsia="Times New Roman" w:hAnsi="Times New Roman"/>
          <w:sz w:val="24"/>
          <w:szCs w:val="24"/>
          <w:lang w:eastAsia="en-ID"/>
        </w:rPr>
        <w:instrText>ADDIN CSL_CITATION {"citationItems":[{"id":"ITEM-1","itemData":{"DOI":"10.21107/infestasi.v17i2.11672","ISSN":"0216-9517","abstract":"Penelitian ini dilakukan dengan tujuan untuk memberikan gambaran dalam mendeteksi kecurangan laporan keuangan dengan memperhatikan gejala-gejala (redflags) kecurangan yang muncul serta dapat menjadi masukan pada saat memberikan kebijakan untuk meminimalisir terjadinya fraud pada Bank Perkreditan Rakyat. Penelitian ini menggunakan pendekatan kualitatif dan teknik analisis data menggunakan deskriptif yang mengungkapkan karakteristik yang ada pada situs penelitian. Informan meliputi pimpinan cabang dan masing-masing penyelia unit yang berkaitan. Hasil penelitian menunjukkan bahwa gejala-gejala potensial yang timbul meliputi adanya tekanan yang berlebih dari pimpinan, ketidakefektifan pelaksanaan monitoring, minimnya pemisahan tugas, ketidakpuasaan terhadap pekerjaan yang dimiliki saat ini, perubahan perilaku dan gaya hidup. Hasil temuan redflags kemudian dikeroleasikan dengan teori segitiga kecurangan dan disimpulkan bahwa faktor peluang merupakan faktor yang paling butuh perhatian khusus. Upaya yang dilakukan untuk meminimalisir terjadinya kecurangan dilakukan dengan 2 cara yakni upaya preventif (menjadikan budaya organisasi yang jujur dan meningkatkan kualitas pengendalian internal) serta melakukan upaya represif (memberikan sanksi sesuai peraturan yang berlaku). This study was conducted with the aim of providing an overview in detecting fraudulent financial reports by paying attention to the fraud red flags symptomps that appear and can be used as input when providing policies to minimize the occurrence of fraud in Rural Banks. Informants include branch leaders and each related unit supervisor. This study uses primary data with descriptive qualitative research methods. The results showed that the potential symptoms that arise include changes in behavior and lifestyle, ineffective monitoring implementation, lack of segregation of duties, dissatisfaction with the current job. The findings of red flags were then correlated with the fraud triangle theory and concluded that the opportunity factor is the factor that most needs special attention. Efforts that is used to minimize the occurrence of fraud were done in 2 ways, preventive efforts such as creating an honest organizational culture and improving the quality of internal control. and the repressive efforts be like giving punishment according to applicable regulations.","author":[{"dropping-particle":"","family":"Wicaksono","given":"Bayu","non-dropping-particle":"","parse-names":false,"suffix":""},{"dropping-particle":"","family":"Haryadi","given":"Bambang","non-dropping-particle":"","parse-names":false,"suffix":""}],"container-title":"InFestasi","id":"ITEM-1","issue":"2","issued":{"date-parts":[["2022"]]},"title":"Deteksi Kecurangan Laporan Keuangan Dan Upaya Penanganannya Pada Bank Perkreditan Rakyat","type":"article-journal","volume":"17"},"uris":["http://www.mendeley.com/documents/?uuid=5d258059-6dc5-3a75-a35f-0202b9c9defa"]},{"id":"ITEM-2","itemData":{"DOI":"10.33603/jka.v5i1.3581","ISSN":"2579-9975","abstract":"… Pertama, adanya pengaruh dari lingkungan disekitarnya (subjective norms), ketika lingkungan disekitar individu … Low self-control, information disclosure, and the risk of online fraud … Hubungan antara kontrol diri dengan intensi cyberloafing pada pegawai dinas x Provinsi Jawa …","author":[{"dropping-particle":"","family":"Pranata","given":"Tan, Debora Agnez","non-dropping-particle":"","parse-names":false,"suffix":""},{"dropping-particle":"","family":"Utami","given":"Intiyas","non-dropping-particle":"","parse-names":false,"suffix":""}],"container-title":"Jurnal Kajian Akuntansi","id":"ITEM-2","issue":"1","issued":{"date-parts":[["2021"]]},"title":"Studi Eksperimental atas Kontrol Diri dan Gaya Hidup: Dampaknya pada Niat Kecurangan","type":"article-journal","volume":"5"},"uris":["http://www.mendeley.com/documents/?uuid=1290526e-81bb-3921-8a45-dc0a051689c9"]}],"mendeley":{"formattedCitation":"(Pranata &amp; Utami, 2021; Wicaksono &amp; Haryadi, 2022)","plainTextFormattedCitation":"(Pranata &amp; Utami, 2021; Wicaksono &amp; Haryadi, 2022)","previouslyFormattedCitation":"(Pranata &amp; Utami, 2021; Wicaksono &amp; Haryadi, 2022)"},"properties":{"noteIndex":0},"schema":"https://github.com/citation-style-language/schema/raw/master/csl-citation.json"}</w:instrText>
      </w:r>
      <w:r>
        <w:rPr>
          <w:rFonts w:ascii="Times New Roman" w:eastAsia="Times New Roman" w:hAnsi="Times New Roman"/>
          <w:sz w:val="24"/>
          <w:szCs w:val="24"/>
          <w:lang w:eastAsia="en-ID"/>
        </w:rPr>
        <w:fldChar w:fldCharType="separate"/>
      </w:r>
      <w:r w:rsidRPr="00DF2F32">
        <w:rPr>
          <w:rFonts w:ascii="Times New Roman" w:eastAsia="Times New Roman" w:hAnsi="Times New Roman"/>
          <w:noProof/>
          <w:sz w:val="24"/>
          <w:szCs w:val="24"/>
          <w:lang w:eastAsia="en-ID"/>
        </w:rPr>
        <w:t>(Pranata &amp; Utami, 2021; Wicaksono &amp; Haryadi, 2022)</w:t>
      </w:r>
      <w:r>
        <w:rPr>
          <w:rFonts w:ascii="Times New Roman" w:eastAsia="Times New Roman" w:hAnsi="Times New Roman"/>
          <w:sz w:val="24"/>
          <w:szCs w:val="24"/>
          <w:lang w:eastAsia="en-ID"/>
        </w:rPr>
        <w:fldChar w:fldCharType="end"/>
      </w:r>
      <w:r>
        <w:rPr>
          <w:rFonts w:ascii="Times New Roman" w:eastAsia="Times New Roman" w:hAnsi="Times New Roman"/>
          <w:color w:val="000000"/>
          <w:sz w:val="24"/>
          <w:szCs w:val="24"/>
        </w:rPr>
        <w:t>.</w:t>
      </w:r>
    </w:p>
    <w:p w14:paraId="5D081804" w14:textId="77777777" w:rsidR="00801914" w:rsidRDefault="00801914" w:rsidP="00801914">
      <w:pPr>
        <w:pBdr>
          <w:top w:val="nil"/>
          <w:left w:val="nil"/>
          <w:bottom w:val="nil"/>
          <w:right w:val="nil"/>
          <w:between w:val="nil"/>
        </w:pBdr>
        <w:spacing w:line="360" w:lineRule="auto"/>
        <w:rPr>
          <w:rFonts w:ascii="Times New Roman" w:eastAsia="Times New Roman" w:hAnsi="Times New Roman"/>
          <w:b/>
          <w:color w:val="000000"/>
          <w:sz w:val="24"/>
          <w:szCs w:val="24"/>
        </w:rPr>
      </w:pPr>
    </w:p>
    <w:p w14:paraId="1A8E29B9" w14:textId="77777777" w:rsidR="00801914" w:rsidRDefault="00801914" w:rsidP="00801914">
      <w:pPr>
        <w:pBdr>
          <w:top w:val="nil"/>
          <w:left w:val="nil"/>
          <w:bottom w:val="nil"/>
          <w:right w:val="nil"/>
          <w:between w:val="nil"/>
        </w:pBdr>
        <w:spacing w:line="36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CONCLUSIONS</w:t>
      </w:r>
    </w:p>
    <w:p w14:paraId="5E4F59F7" w14:textId="77777777" w:rsidR="00801914" w:rsidRDefault="00801914" w:rsidP="0088553E">
      <w:pPr>
        <w:pStyle w:val="BodyText"/>
        <w:spacing w:line="360" w:lineRule="auto"/>
        <w:ind w:left="0" w:firstLine="720"/>
        <w:jc w:val="both"/>
      </w:pPr>
      <w:r>
        <w:t>This study demonstrates that the tendency to commit financial fraud can be influenced by Internal Locus of Control and Financial Behavior among village officials in Deli Serdang Regency, both simultaneously and partially. Healthy financial behavior, combined with self-regulation in the form of a strong internal locus of control, can reduce the likelihood of village officials engaging in fraudulent acts related to financial reporting and financial management. The findings imply that the Deli Serdang regency government should intensively and periodically provide training programs, seminars, or workshops focusing on healthy financial management, reducing consumptive behavior. Furthermore, intensive supervision, financial transparency, and more enforceable regulations are expected to be implemented by the government to mitigate permissive attitudes toward fraudulent practices.</w:t>
      </w:r>
    </w:p>
    <w:p w14:paraId="447B9392" w14:textId="1FC6DFBF" w:rsidR="00801914" w:rsidRPr="00786FE8" w:rsidRDefault="00801914" w:rsidP="00801914">
      <w:pPr>
        <w:pStyle w:val="BodyText"/>
        <w:spacing w:line="360" w:lineRule="auto"/>
        <w:ind w:left="0" w:firstLine="720"/>
        <w:jc w:val="both"/>
        <w:rPr>
          <w:iCs/>
        </w:rPr>
      </w:pPr>
      <w:r>
        <w:t>The limitations of this study suggest that further research is recommended to conduct further analysis on other potential determinants, such as consumptive behavior, lifestyle, conformity, and leadership, to identify additional factors that may contribute to the emergence of financial fraud tendencies. Moreover, to gain deeper insights into the underlying motives, future studies could adopt qualitative or longitudinal approaches to investigate fraudulent practices within the village government context.</w:t>
      </w:r>
    </w:p>
    <w:p w14:paraId="53D9277F" w14:textId="77777777" w:rsidR="00801914" w:rsidRDefault="00801914" w:rsidP="00801914">
      <w:pPr>
        <w:spacing w:line="360" w:lineRule="auto"/>
        <w:jc w:val="both"/>
        <w:rPr>
          <w:rFonts w:asciiTheme="majorBidi" w:hAnsiTheme="majorBidi" w:cstheme="majorBidi"/>
          <w:iCs/>
          <w:sz w:val="24"/>
          <w:szCs w:val="24"/>
        </w:rPr>
      </w:pPr>
    </w:p>
    <w:p w14:paraId="4CCD1CB6" w14:textId="77777777" w:rsidR="00801914" w:rsidRPr="00786FE8" w:rsidRDefault="00801914" w:rsidP="00801914">
      <w:pPr>
        <w:spacing w:line="360" w:lineRule="auto"/>
        <w:rPr>
          <w:rFonts w:asciiTheme="majorBidi" w:hAnsiTheme="majorBidi" w:cstheme="majorBidi"/>
          <w:b/>
          <w:bCs/>
          <w:sz w:val="24"/>
          <w:szCs w:val="24"/>
          <w:lang w:val="en-ID"/>
        </w:rPr>
      </w:pPr>
      <w:r>
        <w:rPr>
          <w:rFonts w:asciiTheme="majorBidi" w:hAnsiTheme="majorBidi" w:cstheme="majorBidi"/>
          <w:b/>
          <w:bCs/>
          <w:sz w:val="24"/>
          <w:szCs w:val="24"/>
          <w:lang w:val="en-ID"/>
        </w:rPr>
        <w:t>REFERENCE</w:t>
      </w:r>
    </w:p>
    <w:p w14:paraId="3DA5A20D" w14:textId="018BEF53" w:rsidR="0088553E" w:rsidRDefault="00801914" w:rsidP="0088553E">
      <w:pPr>
        <w:pStyle w:val="BodyText"/>
        <w:spacing w:before="34" w:line="276" w:lineRule="auto"/>
        <w:ind w:left="709" w:hanging="709"/>
        <w:jc w:val="both"/>
      </w:pPr>
      <w:r w:rsidRPr="00861476">
        <w:rPr>
          <w:lang w:val="fi-FI"/>
        </w:rPr>
        <w:fldChar w:fldCharType="begin" w:fldLock="1"/>
      </w:r>
      <w:r w:rsidRPr="00861476">
        <w:rPr>
          <w:lang w:val="en-ID"/>
        </w:rPr>
        <w:instrText xml:space="preserve">ADDIN Mendeley Bibliography CSL_BIBLIOGRAPHY </w:instrText>
      </w:r>
      <w:r w:rsidRPr="00861476">
        <w:rPr>
          <w:lang w:val="fi-FI"/>
        </w:rPr>
        <w:fldChar w:fldCharType="separate"/>
      </w:r>
      <w:r w:rsidR="0088553E" w:rsidRPr="0088553E">
        <w:t xml:space="preserve"> </w:t>
      </w:r>
      <w:r w:rsidR="0088553E">
        <w:t xml:space="preserve">ACFE. (2022). </w:t>
      </w:r>
      <w:r w:rsidR="0088553E" w:rsidRPr="00641CC1">
        <w:rPr>
          <w:i/>
          <w:iCs/>
        </w:rPr>
        <w:t xml:space="preserve">Occupational Fraud 2022: A Report </w:t>
      </w:r>
      <w:r w:rsidR="00641CC1">
        <w:rPr>
          <w:i/>
          <w:iCs/>
        </w:rPr>
        <w:t>t</w:t>
      </w:r>
      <w:r w:rsidR="0088553E" w:rsidRPr="00641CC1">
        <w:rPr>
          <w:i/>
          <w:iCs/>
        </w:rPr>
        <w:t>o The Nations. Association of Certified Fraud Examiners</w:t>
      </w:r>
      <w:r w:rsidR="0088553E">
        <w:t>, 1–96.</w:t>
      </w:r>
    </w:p>
    <w:p w14:paraId="164693AF" w14:textId="77777777" w:rsidR="0088553E" w:rsidRDefault="0088553E" w:rsidP="0088553E">
      <w:pPr>
        <w:pStyle w:val="BodyText"/>
        <w:spacing w:before="34" w:line="276" w:lineRule="auto"/>
        <w:ind w:left="709" w:hanging="709"/>
        <w:jc w:val="both"/>
      </w:pPr>
      <w:r>
        <w:t xml:space="preserve">Anandya, D., &amp; Ramadhana, K. (2024). </w:t>
      </w:r>
      <w:r w:rsidRPr="00641CC1">
        <w:rPr>
          <w:i/>
          <w:iCs/>
        </w:rPr>
        <w:t>Laporan Hasil Pemantauan Tren Korupsi Tahun 2023. Indonesia Corruption Watch</w:t>
      </w:r>
      <w:r>
        <w:t>, 1–51.</w:t>
      </w:r>
    </w:p>
    <w:p w14:paraId="2C9C5493" w14:textId="77777777" w:rsidR="0088553E" w:rsidRPr="00EE5573" w:rsidRDefault="0088553E" w:rsidP="0088553E">
      <w:pPr>
        <w:pStyle w:val="BodyText"/>
        <w:spacing w:before="34" w:line="276" w:lineRule="auto"/>
        <w:ind w:left="709" w:hanging="709"/>
        <w:jc w:val="both"/>
        <w:rPr>
          <w:lang w:val="fi-FI"/>
        </w:rPr>
      </w:pPr>
      <w:r>
        <w:t xml:space="preserve">Arianti, W., &amp; Irwanto, I. (2021). Stres Kerja: Penyebab, Dampak dan Strategi Mengatasinya (Studi Kasus Jurnalis Media Daring Rubrik Kriminal). </w:t>
      </w:r>
      <w:r w:rsidRPr="00641CC1">
        <w:rPr>
          <w:i/>
          <w:iCs/>
          <w:lang w:val="fi-FI"/>
        </w:rPr>
        <w:t>PSIKODIMENSIA</w:t>
      </w:r>
      <w:r w:rsidRPr="00EE5573">
        <w:rPr>
          <w:lang w:val="fi-FI"/>
        </w:rPr>
        <w:t>, 20(2). https://doi.org/10.24167/psidim.v20i2.3693</w:t>
      </w:r>
    </w:p>
    <w:p w14:paraId="0465677E" w14:textId="47829F18" w:rsidR="0088553E" w:rsidRDefault="0088553E" w:rsidP="0088553E">
      <w:pPr>
        <w:pStyle w:val="BodyText"/>
        <w:spacing w:before="34" w:line="276" w:lineRule="auto"/>
        <w:ind w:left="709" w:hanging="709"/>
        <w:jc w:val="both"/>
      </w:pPr>
      <w:r w:rsidRPr="00EE5573">
        <w:rPr>
          <w:lang w:val="fi-FI"/>
        </w:rPr>
        <w:t xml:space="preserve">Aristei, D., &amp; Gallo, M. (2021). </w:t>
      </w:r>
      <w:r>
        <w:t xml:space="preserve">Financial </w:t>
      </w:r>
      <w:r w:rsidR="00641CC1">
        <w:t>Knowledge, Confi</w:t>
      </w:r>
      <w:r>
        <w:t xml:space="preserve">dence, and </w:t>
      </w:r>
      <w:r w:rsidR="00641CC1">
        <w:t>Sustainable Financial Behavio</w:t>
      </w:r>
      <w:r>
        <w:t xml:space="preserve">r. </w:t>
      </w:r>
      <w:r w:rsidRPr="00641CC1">
        <w:rPr>
          <w:i/>
          <w:iCs/>
        </w:rPr>
        <w:t>Sustainability (Switzerland),</w:t>
      </w:r>
      <w:r>
        <w:t xml:space="preserve"> 13(19). https://doi.org/10.3390/su131910926</w:t>
      </w:r>
    </w:p>
    <w:p w14:paraId="41400951" w14:textId="216F682D" w:rsidR="0088553E" w:rsidRDefault="0088553E" w:rsidP="0088553E">
      <w:pPr>
        <w:pStyle w:val="BodyText"/>
        <w:spacing w:before="34" w:line="276" w:lineRule="auto"/>
        <w:ind w:left="709" w:hanging="709"/>
        <w:jc w:val="both"/>
      </w:pPr>
      <w:r>
        <w:t xml:space="preserve">Azdi, A. R., &amp; Nurwahid, R. H. (2024). Korupsi </w:t>
      </w:r>
      <w:r w:rsidR="00641CC1">
        <w:t>d</w:t>
      </w:r>
      <w:r>
        <w:t xml:space="preserve">an Kegagalan Etika </w:t>
      </w:r>
      <w:r w:rsidR="00641CC1">
        <w:t>d</w:t>
      </w:r>
      <w:r>
        <w:t xml:space="preserve">alam Administrasi Publik: Dampak </w:t>
      </w:r>
      <w:r w:rsidR="00641CC1">
        <w:t>p</w:t>
      </w:r>
      <w:r>
        <w:t>ada Pelayanan Masyarakat. 11(02), 776–791.</w:t>
      </w:r>
    </w:p>
    <w:p w14:paraId="50B23946" w14:textId="3B79A317" w:rsidR="0088553E" w:rsidRDefault="0088553E" w:rsidP="0088553E">
      <w:pPr>
        <w:pStyle w:val="BodyText"/>
        <w:spacing w:before="34" w:line="276" w:lineRule="auto"/>
        <w:ind w:left="709" w:hanging="709"/>
        <w:jc w:val="both"/>
      </w:pPr>
      <w:r>
        <w:t xml:space="preserve">Bai, R. (2023). Impact of </w:t>
      </w:r>
      <w:r w:rsidR="00641CC1">
        <w:t xml:space="preserve">Financial Literacy, Mental Budgeting and Self Control on Financial Wellbeing: </w:t>
      </w:r>
      <w:r>
        <w:t xml:space="preserve">Mediating </w:t>
      </w:r>
      <w:r w:rsidR="00641CC1">
        <w:t>Impact of Investment Decision Making</w:t>
      </w:r>
      <w:r>
        <w:t xml:space="preserve">. </w:t>
      </w:r>
      <w:r w:rsidRPr="00A20BDF">
        <w:rPr>
          <w:i/>
          <w:iCs/>
        </w:rPr>
        <w:t>PLoS ONE</w:t>
      </w:r>
      <w:r>
        <w:t xml:space="preserve">, 18(11 </w:t>
      </w:r>
      <w:r>
        <w:lastRenderedPageBreak/>
        <w:t>November). https://doi.org/10.1371/journal.pone.0294466</w:t>
      </w:r>
    </w:p>
    <w:p w14:paraId="604C0BE4" w14:textId="2380B9BC" w:rsidR="0088553E" w:rsidRDefault="0088553E" w:rsidP="0088553E">
      <w:pPr>
        <w:pStyle w:val="BodyText"/>
        <w:spacing w:before="34" w:line="276" w:lineRule="auto"/>
        <w:ind w:left="709" w:hanging="709"/>
        <w:jc w:val="both"/>
      </w:pPr>
      <w:r>
        <w:t xml:space="preserve">Brilianti, T. R., &amp; Lutfi, L. (2020). </w:t>
      </w:r>
      <w:r w:rsidRPr="00EE5573">
        <w:rPr>
          <w:lang w:val="fi-FI"/>
        </w:rPr>
        <w:t xml:space="preserve">Pengalaman Keuangan, dan Pendapatan terhadap Perilaku Keuangan Keluarga. </w:t>
      </w:r>
      <w:r w:rsidRPr="00A20BDF">
        <w:rPr>
          <w:i/>
          <w:iCs/>
        </w:rPr>
        <w:t>Journal of Business and Banking</w:t>
      </w:r>
      <w:r>
        <w:t>, 9(2), 1–17.</w:t>
      </w:r>
    </w:p>
    <w:p w14:paraId="60712562" w14:textId="2DEF96EB" w:rsidR="0088553E" w:rsidRPr="00EE5573" w:rsidRDefault="0088553E" w:rsidP="0088553E">
      <w:pPr>
        <w:pStyle w:val="BodyText"/>
        <w:spacing w:before="34" w:line="276" w:lineRule="auto"/>
        <w:ind w:left="709" w:hanging="709"/>
        <w:jc w:val="both"/>
        <w:rPr>
          <w:lang w:val="fi-FI"/>
        </w:rPr>
      </w:pPr>
      <w:r>
        <w:t xml:space="preserve">Christian, N., &amp; Ricardo, P. (2022). Kajian Impact of Fraud: Nasional </w:t>
      </w:r>
      <w:r w:rsidR="00A20BDF">
        <w:t>d</w:t>
      </w:r>
      <w:r>
        <w:t xml:space="preserve">an Internasional. </w:t>
      </w:r>
      <w:r w:rsidRPr="00A20BDF">
        <w:rPr>
          <w:i/>
          <w:iCs/>
          <w:lang w:val="fi-FI"/>
        </w:rPr>
        <w:t xml:space="preserve">Jurnal Ilmiah MEA (Manajemen, Ekonomi, </w:t>
      </w:r>
      <w:r w:rsidR="00A20BDF" w:rsidRPr="00A20BDF">
        <w:rPr>
          <w:i/>
          <w:iCs/>
          <w:lang w:val="fi-FI"/>
        </w:rPr>
        <w:t>d</w:t>
      </w:r>
      <w:r w:rsidRPr="00A20BDF">
        <w:rPr>
          <w:i/>
          <w:iCs/>
          <w:lang w:val="fi-FI"/>
        </w:rPr>
        <w:t>an Akuntansi)</w:t>
      </w:r>
      <w:r w:rsidRPr="00EE5573">
        <w:rPr>
          <w:lang w:val="fi-FI"/>
        </w:rPr>
        <w:t>, 6(2), 102–117.</w:t>
      </w:r>
    </w:p>
    <w:p w14:paraId="6FB40E98" w14:textId="1FDB1982" w:rsidR="0088553E" w:rsidRDefault="0088553E" w:rsidP="0088553E">
      <w:pPr>
        <w:pStyle w:val="BodyText"/>
        <w:spacing w:before="34" w:line="276" w:lineRule="auto"/>
        <w:ind w:left="709" w:hanging="709"/>
        <w:jc w:val="both"/>
      </w:pPr>
      <w:r w:rsidRPr="00EE5573">
        <w:rPr>
          <w:lang w:val="fi-FI"/>
        </w:rPr>
        <w:t xml:space="preserve">Christian, N., &amp; Veronica, J. (2022). </w:t>
      </w:r>
      <w:r>
        <w:t xml:space="preserve">Dampak Kecurangan </w:t>
      </w:r>
      <w:r w:rsidR="00A20BDF">
        <w:t>p</w:t>
      </w:r>
      <w:r>
        <w:t xml:space="preserve">ada Bidang Keuangan </w:t>
      </w:r>
      <w:r w:rsidR="00A20BDF">
        <w:t>d</w:t>
      </w:r>
      <w:r>
        <w:t>an Non</w:t>
      </w:r>
      <w:r w:rsidR="001B4E86">
        <w:t xml:space="preserve"> </w:t>
      </w:r>
      <w:r>
        <w:t xml:space="preserve">Keuangan </w:t>
      </w:r>
      <w:r w:rsidR="00A20BDF">
        <w:t>t</w:t>
      </w:r>
      <w:r>
        <w:t xml:space="preserve">erhadap Jenis Fraud </w:t>
      </w:r>
      <w:r w:rsidR="00A20BDF">
        <w:t>d</w:t>
      </w:r>
      <w:r>
        <w:t xml:space="preserve">i Indonesia. </w:t>
      </w:r>
      <w:r w:rsidRPr="00A20BDF">
        <w:rPr>
          <w:i/>
          <w:iCs/>
        </w:rPr>
        <w:t xml:space="preserve">Jurnal Riset Akuntansi Mercu Buana, </w:t>
      </w:r>
      <w:r>
        <w:t>8(1), 91–102.</w:t>
      </w:r>
    </w:p>
    <w:p w14:paraId="69A0CFEF" w14:textId="0F781BE2" w:rsidR="0088553E" w:rsidRPr="00A20BDF" w:rsidRDefault="0088553E" w:rsidP="0088553E">
      <w:pPr>
        <w:pStyle w:val="BodyText"/>
        <w:spacing w:before="34" w:line="276" w:lineRule="auto"/>
        <w:ind w:left="709" w:hanging="709"/>
        <w:jc w:val="both"/>
        <w:rPr>
          <w:i/>
          <w:iCs/>
        </w:rPr>
      </w:pPr>
      <w:r>
        <w:t xml:space="preserve">Cressey, D. R. (1953). </w:t>
      </w:r>
      <w:r w:rsidRPr="00A20BDF">
        <w:rPr>
          <w:i/>
          <w:iCs/>
        </w:rPr>
        <w:t xml:space="preserve">Other </w:t>
      </w:r>
      <w:r w:rsidR="00A20BDF" w:rsidRPr="00A20BDF">
        <w:rPr>
          <w:i/>
          <w:iCs/>
        </w:rPr>
        <w:t xml:space="preserve">People’s Money; </w:t>
      </w:r>
      <w:r w:rsidR="00A20BDF">
        <w:rPr>
          <w:i/>
          <w:iCs/>
        </w:rPr>
        <w:t>a</w:t>
      </w:r>
      <w:r w:rsidR="00A20BDF" w:rsidRPr="00A20BDF">
        <w:rPr>
          <w:i/>
          <w:iCs/>
        </w:rPr>
        <w:t xml:space="preserve"> Study </w:t>
      </w:r>
      <w:r w:rsidR="00A20BDF">
        <w:rPr>
          <w:i/>
          <w:iCs/>
        </w:rPr>
        <w:t>o</w:t>
      </w:r>
      <w:r w:rsidR="00A20BDF" w:rsidRPr="00A20BDF">
        <w:rPr>
          <w:i/>
          <w:iCs/>
        </w:rPr>
        <w:t xml:space="preserve">f The Social Psychology </w:t>
      </w:r>
      <w:r w:rsidR="00A20BDF">
        <w:rPr>
          <w:i/>
          <w:iCs/>
        </w:rPr>
        <w:t>o</w:t>
      </w:r>
      <w:r w:rsidR="00A20BDF" w:rsidRPr="00A20BDF">
        <w:rPr>
          <w:i/>
          <w:iCs/>
        </w:rPr>
        <w:t xml:space="preserve">f. </w:t>
      </w:r>
      <w:r w:rsidR="00A20BDF">
        <w:rPr>
          <w:i/>
          <w:iCs/>
        </w:rPr>
        <w:t>i</w:t>
      </w:r>
      <w:r w:rsidRPr="00A20BDF">
        <w:rPr>
          <w:i/>
          <w:iCs/>
        </w:rPr>
        <w:t>n Free Press</w:t>
      </w:r>
      <w:r w:rsidR="00A20BDF" w:rsidRPr="00A20BDF">
        <w:rPr>
          <w:i/>
          <w:iCs/>
        </w:rPr>
        <w:t>.</w:t>
      </w:r>
    </w:p>
    <w:p w14:paraId="5955E142" w14:textId="77777777" w:rsidR="0088553E" w:rsidRDefault="0088553E" w:rsidP="0088553E">
      <w:pPr>
        <w:pStyle w:val="BodyText"/>
        <w:spacing w:before="34" w:line="276" w:lineRule="auto"/>
        <w:ind w:left="709" w:hanging="709"/>
        <w:jc w:val="both"/>
      </w:pPr>
      <w:r>
        <w:t xml:space="preserve">Dewantara, A. (2022). </w:t>
      </w:r>
      <w:r w:rsidRPr="00A20BDF">
        <w:rPr>
          <w:i/>
          <w:iCs/>
        </w:rPr>
        <w:t>Hindari Fraud di Sektor Publik, Tingkatkan Pelayanan kepada Stakeholders</w:t>
      </w:r>
      <w:r>
        <w:t>. DJKN.</w:t>
      </w:r>
    </w:p>
    <w:p w14:paraId="4EAF8E39" w14:textId="4D8F8743" w:rsidR="0088553E" w:rsidRPr="00EE5573" w:rsidRDefault="0088553E" w:rsidP="0088553E">
      <w:pPr>
        <w:pStyle w:val="BodyText"/>
        <w:spacing w:before="34" w:line="276" w:lineRule="auto"/>
        <w:ind w:left="709" w:hanging="709"/>
        <w:jc w:val="both"/>
        <w:rPr>
          <w:lang w:val="fi-FI"/>
        </w:rPr>
      </w:pPr>
      <w:r>
        <w:t xml:space="preserve">Dewi, I. G. A. O. K., Sudiana, I. W., &amp; Putra, I. P. D. S. (2021). Pengaruh Locus </w:t>
      </w:r>
      <w:r w:rsidR="00A20BDF">
        <w:t>o</w:t>
      </w:r>
      <w:r>
        <w:t xml:space="preserve">f Control </w:t>
      </w:r>
      <w:r w:rsidR="00A20BDF">
        <w:t>d</w:t>
      </w:r>
      <w:r>
        <w:t xml:space="preserve">an Moralitas Individu </w:t>
      </w:r>
      <w:r w:rsidR="00A20BDF">
        <w:t>t</w:t>
      </w:r>
      <w:r>
        <w:t xml:space="preserve">erhadap Kecendrungan Kecurangan Akuntansi. </w:t>
      </w:r>
      <w:r w:rsidRPr="00A20BDF">
        <w:rPr>
          <w:i/>
          <w:iCs/>
          <w:lang w:val="fi-FI"/>
        </w:rPr>
        <w:t xml:space="preserve">Hita Akuntansi </w:t>
      </w:r>
      <w:r w:rsidR="00A20BDF" w:rsidRPr="00A20BDF">
        <w:rPr>
          <w:i/>
          <w:iCs/>
          <w:lang w:val="fi-FI"/>
        </w:rPr>
        <w:t>d</w:t>
      </w:r>
      <w:r w:rsidRPr="00A20BDF">
        <w:rPr>
          <w:i/>
          <w:iCs/>
          <w:lang w:val="fi-FI"/>
        </w:rPr>
        <w:t>an Keuangan</w:t>
      </w:r>
      <w:r w:rsidRPr="00EE5573">
        <w:rPr>
          <w:lang w:val="fi-FI"/>
        </w:rPr>
        <w:t>, 2(1). https://doi.org/10.32795/hak.v2i1.1507</w:t>
      </w:r>
    </w:p>
    <w:p w14:paraId="3FEFF41A" w14:textId="144B427D" w:rsidR="0088553E" w:rsidRPr="00EE5573" w:rsidRDefault="0088553E" w:rsidP="0088553E">
      <w:pPr>
        <w:pStyle w:val="BodyText"/>
        <w:spacing w:before="34" w:line="276" w:lineRule="auto"/>
        <w:ind w:left="709" w:hanging="709"/>
        <w:jc w:val="both"/>
        <w:rPr>
          <w:lang w:val="fi-FI"/>
        </w:rPr>
      </w:pPr>
      <w:r w:rsidRPr="00EE5573">
        <w:rPr>
          <w:lang w:val="fi-FI"/>
        </w:rPr>
        <w:t xml:space="preserve">Dewi, N. K. P. P., &amp; Rasmini, N. K. (2019). </w:t>
      </w:r>
      <w:r>
        <w:t xml:space="preserve">Pengaruh Kompetensi SDM dan Locus </w:t>
      </w:r>
      <w:r w:rsidR="00A20BDF">
        <w:t>o</w:t>
      </w:r>
      <w:r>
        <w:t xml:space="preserve">f Control </w:t>
      </w:r>
      <w:r w:rsidR="00A20BDF">
        <w:t>p</w:t>
      </w:r>
      <w:r>
        <w:t xml:space="preserve">ada Pencegahan Fraud dalam Pengelolaan Dana Desa. </w:t>
      </w:r>
      <w:r w:rsidRPr="00A20BDF">
        <w:rPr>
          <w:i/>
          <w:iCs/>
          <w:lang w:val="fi-FI"/>
        </w:rPr>
        <w:t>E-Jurnal Akuntansi,</w:t>
      </w:r>
      <w:r w:rsidRPr="00EE5573">
        <w:rPr>
          <w:lang w:val="fi-FI"/>
        </w:rPr>
        <w:t xml:space="preserve"> 29(3). https://doi.org/10.24843/eja.2019.v29.i03.p12</w:t>
      </w:r>
    </w:p>
    <w:p w14:paraId="737469A7" w14:textId="77777777" w:rsidR="0088553E" w:rsidRDefault="0088553E" w:rsidP="0088553E">
      <w:pPr>
        <w:pStyle w:val="BodyText"/>
        <w:spacing w:before="34" w:line="276" w:lineRule="auto"/>
        <w:ind w:left="709" w:hanging="709"/>
        <w:jc w:val="both"/>
      </w:pPr>
      <w:r w:rsidRPr="00EE5573">
        <w:rPr>
          <w:lang w:val="fi-FI"/>
        </w:rPr>
        <w:t xml:space="preserve">Fausta, G. J., &amp; Nelvirita, N. (2022). </w:t>
      </w:r>
      <w:r>
        <w:t xml:space="preserve">Pengaruh Kecerdasan Emosional, Kecerdasan Spiritual, dan Locus of Control terhadap Kecenderungan Kecurangan Akuntansi. </w:t>
      </w:r>
      <w:r w:rsidRPr="00A20BDF">
        <w:rPr>
          <w:i/>
          <w:iCs/>
        </w:rPr>
        <w:t>JURNAL EKSPLORASI AKUNTANSI</w:t>
      </w:r>
      <w:r>
        <w:t>, 4(2). https://doi.org/10.24036/jea.v4i2.536</w:t>
      </w:r>
    </w:p>
    <w:p w14:paraId="54060E33" w14:textId="77777777" w:rsidR="0088553E" w:rsidRDefault="0088553E" w:rsidP="0088553E">
      <w:pPr>
        <w:pStyle w:val="BodyText"/>
        <w:spacing w:before="34" w:line="276" w:lineRule="auto"/>
        <w:ind w:left="709" w:hanging="709"/>
        <w:jc w:val="both"/>
      </w:pPr>
      <w:r>
        <w:t xml:space="preserve">Fuji, K. T., White, N. D., Packard, K. A., Kalkowski, J. C., &amp; Walters, R. W. (2024). Effect of a Financial Education and Coaching Program for Low-Income, Single Mother Households on Child Health Outcomes. </w:t>
      </w:r>
      <w:r w:rsidRPr="00A20BDF">
        <w:rPr>
          <w:i/>
          <w:iCs/>
        </w:rPr>
        <w:t>Healthcare (Switzerland)</w:t>
      </w:r>
      <w:r>
        <w:t>, 12(2). https://doi.org/10.3390/healthcare12020127</w:t>
      </w:r>
    </w:p>
    <w:p w14:paraId="075B8EFA" w14:textId="155B53CA" w:rsidR="0088553E" w:rsidRPr="00EE5573" w:rsidRDefault="0088553E" w:rsidP="0088553E">
      <w:pPr>
        <w:pStyle w:val="BodyText"/>
        <w:spacing w:before="34" w:line="276" w:lineRule="auto"/>
        <w:ind w:left="709" w:hanging="709"/>
        <w:jc w:val="both"/>
        <w:rPr>
          <w:lang w:val="fi-FI"/>
        </w:rPr>
      </w:pPr>
      <w:r>
        <w:t xml:space="preserve">Ganeuari, N. P. D., &amp; Adiputra, I. M. P. (2023). Pengaruh Pengendalian Internal, Internal Locus of Control, </w:t>
      </w:r>
      <w:r w:rsidR="00A20BDF">
        <w:t>d</w:t>
      </w:r>
      <w:r>
        <w:t xml:space="preserve">an Bystander Effect </w:t>
      </w:r>
      <w:r w:rsidR="00A20BDF">
        <w:t>t</w:t>
      </w:r>
      <w:r>
        <w:t xml:space="preserve">erhadap Kecurangan </w:t>
      </w:r>
      <w:r w:rsidR="00A20BDF">
        <w:t>p</w:t>
      </w:r>
      <w:r>
        <w:t xml:space="preserve">ada Lembaga Perkreditan Desa </w:t>
      </w:r>
      <w:r w:rsidR="00A20BDF">
        <w:t>d</w:t>
      </w:r>
      <w:r>
        <w:t xml:space="preserve">i Kecamatan Kintamani. </w:t>
      </w:r>
      <w:r w:rsidRPr="00A20BDF">
        <w:rPr>
          <w:i/>
          <w:iCs/>
          <w:lang w:val="fi-FI"/>
        </w:rPr>
        <w:t>Vokasi: Jurnal Riset Akuntansi</w:t>
      </w:r>
      <w:r w:rsidRPr="00EE5573">
        <w:rPr>
          <w:lang w:val="fi-FI"/>
        </w:rPr>
        <w:t>, 12(2), 86–95. https://doi.org/10.23887/vjra.v12i2.61921</w:t>
      </w:r>
    </w:p>
    <w:p w14:paraId="5E88B521" w14:textId="77777777" w:rsidR="0088553E" w:rsidRDefault="0088553E" w:rsidP="0088553E">
      <w:pPr>
        <w:pStyle w:val="BodyText"/>
        <w:spacing w:before="34" w:line="276" w:lineRule="auto"/>
        <w:ind w:left="709" w:hanging="709"/>
        <w:jc w:val="both"/>
      </w:pPr>
      <w:r w:rsidRPr="00EE5573">
        <w:rPr>
          <w:lang w:val="fi-FI"/>
        </w:rPr>
        <w:t xml:space="preserve">George, D., &amp; Mallery, P. (2010). </w:t>
      </w:r>
      <w:r>
        <w:t>S</w:t>
      </w:r>
      <w:r w:rsidRPr="00A20BDF">
        <w:rPr>
          <w:i/>
          <w:iCs/>
        </w:rPr>
        <w:t>PSS for Windows Step by Step: A Simple Guide and Reference Fourth Edition</w:t>
      </w:r>
      <w:r>
        <w:t>. Boston: Pearson Education.</w:t>
      </w:r>
    </w:p>
    <w:p w14:paraId="3D99A88D" w14:textId="44EAC89A" w:rsidR="0088553E" w:rsidRDefault="0088553E" w:rsidP="0088553E">
      <w:pPr>
        <w:pStyle w:val="BodyText"/>
        <w:spacing w:before="34" w:line="276" w:lineRule="auto"/>
        <w:ind w:left="709" w:hanging="709"/>
        <w:jc w:val="both"/>
      </w:pPr>
      <w:r>
        <w:t xml:space="preserve">Grable, J. E., Park, J. Y., &amp; Joo, S. H. (2009). Explaining </w:t>
      </w:r>
      <w:r w:rsidR="00A20BDF">
        <w:t>Financial Management Behavior for Koreans Living in The United States</w:t>
      </w:r>
      <w:r>
        <w:t xml:space="preserve">. </w:t>
      </w:r>
      <w:r w:rsidRPr="00A20BDF">
        <w:rPr>
          <w:i/>
          <w:iCs/>
        </w:rPr>
        <w:t>Journal of Consumer Affairs</w:t>
      </w:r>
      <w:r>
        <w:t>, 43(1). https://doi.org/10.1111/j.1745-6606.2008.01128.x</w:t>
      </w:r>
    </w:p>
    <w:p w14:paraId="4AE402D6" w14:textId="77777777" w:rsidR="0088553E" w:rsidRDefault="0088553E" w:rsidP="0088553E">
      <w:pPr>
        <w:pStyle w:val="BodyText"/>
        <w:spacing w:before="34" w:line="276" w:lineRule="auto"/>
        <w:ind w:left="709" w:hanging="709"/>
        <w:jc w:val="both"/>
      </w:pPr>
      <w:r>
        <w:t>Hair, J. F., Hult, G. T. M., Ringle, C. M., &amp; Sarstedt, M. (2022). A</w:t>
      </w:r>
      <w:r w:rsidRPr="00A20BDF">
        <w:rPr>
          <w:i/>
          <w:iCs/>
        </w:rPr>
        <w:t xml:space="preserve"> Primer on Partial Least Squares Structural Equation Modeling. In Sage Publication (Issues 1–2)</w:t>
      </w:r>
      <w:r>
        <w:t>. Sage Publication. https://doi.org/10.1016/j.lrp.2013.01.002</w:t>
      </w:r>
    </w:p>
    <w:p w14:paraId="284DAEE0" w14:textId="77777777" w:rsidR="0088553E" w:rsidRDefault="0088553E" w:rsidP="0088553E">
      <w:pPr>
        <w:pStyle w:val="BodyText"/>
        <w:spacing w:before="34" w:line="276" w:lineRule="auto"/>
        <w:ind w:left="709" w:hanging="709"/>
        <w:jc w:val="both"/>
      </w:pPr>
      <w:r>
        <w:t xml:space="preserve">Haryadi, P. (2024). </w:t>
      </w:r>
      <w:r w:rsidRPr="00A20BDF">
        <w:rPr>
          <w:i/>
          <w:iCs/>
        </w:rPr>
        <w:t>Dana Desa 2025 Deli Serdang Rp373,3 miliar, Berikut Rincian per Desa: Simak yang Terbesar dari Abjad P-W.</w:t>
      </w:r>
      <w:r>
        <w:t xml:space="preserve"> Rakyatbengkulu.Disway.Id. https://rakyatbengkulu.disway.id/read/689639/dana-desa-2025-deli-serdang-rp3733-miliar-berikut-rincian-per-desa-simak-yang-terbesar-dari-abjad-p-w?utm_source=chatgpt.com</w:t>
      </w:r>
    </w:p>
    <w:p w14:paraId="473A86C4" w14:textId="77777777" w:rsidR="0088553E" w:rsidRDefault="0088553E" w:rsidP="0088553E">
      <w:pPr>
        <w:pStyle w:val="BodyText"/>
        <w:spacing w:before="34" w:line="276" w:lineRule="auto"/>
        <w:ind w:left="709" w:hanging="709"/>
        <w:jc w:val="both"/>
      </w:pPr>
      <w:r w:rsidRPr="00EE5573">
        <w:rPr>
          <w:lang w:val="fi-FI"/>
        </w:rPr>
        <w:lastRenderedPageBreak/>
        <w:t xml:space="preserve">Helali, B. A.-N., Mohamad, H. S., &amp; Eliwa, S. M. (2022). </w:t>
      </w:r>
      <w:r>
        <w:t xml:space="preserve">The Relationship between Locus of Control and Psychological Well-Being among Hemodialysis Patients. </w:t>
      </w:r>
      <w:r w:rsidRPr="00A20BDF">
        <w:rPr>
          <w:i/>
          <w:iCs/>
        </w:rPr>
        <w:t>Egyptian Journal of Health Care</w:t>
      </w:r>
      <w:r>
        <w:t>, 13(1). https://doi.org/10.21608/ejhc.2022.221395</w:t>
      </w:r>
    </w:p>
    <w:p w14:paraId="2B50DA4E" w14:textId="75DB17E5" w:rsidR="0088553E" w:rsidRPr="00EE5573" w:rsidRDefault="0088553E" w:rsidP="0088553E">
      <w:pPr>
        <w:pStyle w:val="BodyText"/>
        <w:spacing w:before="34" w:line="276" w:lineRule="auto"/>
        <w:ind w:left="709" w:hanging="709"/>
        <w:jc w:val="both"/>
        <w:rPr>
          <w:lang w:val="fi-FI"/>
        </w:rPr>
      </w:pPr>
      <w:r>
        <w:t xml:space="preserve">Hendryadi, H. (2017). Pengembangan Skala Locus of Control. </w:t>
      </w:r>
      <w:r w:rsidRPr="00A20BDF">
        <w:rPr>
          <w:i/>
          <w:iCs/>
          <w:lang w:val="fi-FI"/>
        </w:rPr>
        <w:t xml:space="preserve">Jurnal Riset Manajemen </w:t>
      </w:r>
      <w:r w:rsidR="00A20BDF" w:rsidRPr="00A20BDF">
        <w:rPr>
          <w:i/>
          <w:iCs/>
          <w:lang w:val="fi-FI"/>
        </w:rPr>
        <w:t>d</w:t>
      </w:r>
      <w:r w:rsidRPr="00A20BDF">
        <w:rPr>
          <w:i/>
          <w:iCs/>
          <w:lang w:val="fi-FI"/>
        </w:rPr>
        <w:t>an Bisnis (JRMB) Fakultas Ekonomi UNIAT</w:t>
      </w:r>
      <w:r w:rsidRPr="00EE5573">
        <w:rPr>
          <w:lang w:val="fi-FI"/>
        </w:rPr>
        <w:t>, 2(3), 417–424. https://doi.org/10.36226/jrmb.v2i3.76</w:t>
      </w:r>
    </w:p>
    <w:p w14:paraId="57D3B8A7" w14:textId="2E3E08BC" w:rsidR="0088553E" w:rsidRDefault="0088553E" w:rsidP="0088553E">
      <w:pPr>
        <w:pStyle w:val="BodyText"/>
        <w:spacing w:before="34" w:line="276" w:lineRule="auto"/>
        <w:ind w:left="709" w:hanging="709"/>
        <w:jc w:val="both"/>
      </w:pPr>
      <w:r>
        <w:t xml:space="preserve">Lingga, R. A. (2019). Dimensi Fraud Triangle </w:t>
      </w:r>
      <w:r w:rsidR="00A20BDF">
        <w:t>s</w:t>
      </w:r>
      <w:r>
        <w:t xml:space="preserve">ebagai Determinan Kecenderungan Kecurangan (Fraud) </w:t>
      </w:r>
      <w:r w:rsidR="00A20BDF">
        <w:t>p</w:t>
      </w:r>
      <w:r>
        <w:t xml:space="preserve">ada Proses Akuntansi Dimensi Fraud Triangle </w:t>
      </w:r>
      <w:r w:rsidR="00A20BDF">
        <w:t>s</w:t>
      </w:r>
      <w:r>
        <w:t xml:space="preserve">ebagai Determinan. </w:t>
      </w:r>
      <w:r w:rsidRPr="00A20BDF">
        <w:rPr>
          <w:i/>
          <w:iCs/>
        </w:rPr>
        <w:t xml:space="preserve">Call for Papers Jurnal Tata Kelola &amp; Akuntabilitas Keuangan Negara, </w:t>
      </w:r>
      <w:r>
        <w:t>April.</w:t>
      </w:r>
    </w:p>
    <w:p w14:paraId="705FC218" w14:textId="77777777" w:rsidR="0088553E" w:rsidRDefault="0088553E" w:rsidP="0088553E">
      <w:pPr>
        <w:pStyle w:val="BodyText"/>
        <w:spacing w:before="34" w:line="276" w:lineRule="auto"/>
        <w:ind w:left="709" w:hanging="709"/>
        <w:jc w:val="both"/>
      </w:pPr>
      <w:r>
        <w:t xml:space="preserve">Mallo, C. K., Trang, I., &amp; Saerang, R. T. (2022). Pengaruh Internal Locus of Control dan External Locus of Control Terhadap Kepuasan Kerja Pegawai Kantor Kecamatan Sario. </w:t>
      </w:r>
      <w:r w:rsidRPr="00A20BDF">
        <w:rPr>
          <w:i/>
          <w:iCs/>
        </w:rPr>
        <w:t>Jurnal EMBA</w:t>
      </w:r>
      <w:r>
        <w:t>, 10(1), 91–100.</w:t>
      </w:r>
    </w:p>
    <w:p w14:paraId="24A61459" w14:textId="77777777" w:rsidR="0088553E" w:rsidRDefault="0088553E" w:rsidP="0088553E">
      <w:pPr>
        <w:pStyle w:val="BodyText"/>
        <w:spacing w:before="34" w:line="276" w:lineRule="auto"/>
        <w:ind w:left="709" w:hanging="709"/>
        <w:jc w:val="both"/>
      </w:pPr>
      <w:r>
        <w:t>Mohr, Z., &amp; Kearney, L. (2021). Behavioral-Experimental Public Budgeting and Financial Management: A Review of Experimental Studies in the Field.</w:t>
      </w:r>
      <w:r w:rsidRPr="00A20BDF">
        <w:rPr>
          <w:i/>
          <w:iCs/>
        </w:rPr>
        <w:t xml:space="preserve"> Public Finance and Management</w:t>
      </w:r>
      <w:r>
        <w:t>, 20(1). https://doi.org/10.1177/152397212102000102</w:t>
      </w:r>
    </w:p>
    <w:p w14:paraId="1267571A" w14:textId="77777777" w:rsidR="0088553E" w:rsidRDefault="0088553E" w:rsidP="0088553E">
      <w:pPr>
        <w:pStyle w:val="BodyText"/>
        <w:spacing w:before="34" w:line="276" w:lineRule="auto"/>
        <w:ind w:left="709" w:hanging="709"/>
        <w:jc w:val="both"/>
      </w:pPr>
      <w:r>
        <w:t>Montgomery, D. C., Peck, E. A., &amp; Vining, G. G. (2021). I</w:t>
      </w:r>
      <w:r w:rsidRPr="00A20BDF">
        <w:rPr>
          <w:i/>
          <w:iCs/>
        </w:rPr>
        <w:t>ntroduction to Linear Regression Analysis (6th ed)</w:t>
      </w:r>
      <w:r>
        <w:t>. John Wiley &amp; Son.</w:t>
      </w:r>
    </w:p>
    <w:p w14:paraId="21853FD6" w14:textId="1DB0FD7B" w:rsidR="0088553E" w:rsidRDefault="0088553E" w:rsidP="0088553E">
      <w:pPr>
        <w:pStyle w:val="BodyText"/>
        <w:spacing w:before="34" w:line="276" w:lineRule="auto"/>
        <w:ind w:left="709" w:hanging="709"/>
        <w:jc w:val="both"/>
      </w:pPr>
      <w:r>
        <w:t xml:space="preserve">Nur’Illiyyien, Haliah, &amp; Kusumawati, A. (2023). </w:t>
      </w:r>
      <w:r w:rsidRPr="00A20BDF">
        <w:rPr>
          <w:i/>
          <w:iCs/>
        </w:rPr>
        <w:t xml:space="preserve">Reinventing Government </w:t>
      </w:r>
      <w:r w:rsidR="00A20BDF">
        <w:rPr>
          <w:i/>
          <w:iCs/>
        </w:rPr>
        <w:t>d</w:t>
      </w:r>
      <w:r w:rsidRPr="00A20BDF">
        <w:rPr>
          <w:i/>
          <w:iCs/>
        </w:rPr>
        <w:t>alam Pencegahanfraudpadasektorpublik</w:t>
      </w:r>
      <w:r>
        <w:t>. 6, 259–265.</w:t>
      </w:r>
    </w:p>
    <w:p w14:paraId="0FEEC1D9" w14:textId="1C52C5FF" w:rsidR="0088553E" w:rsidRDefault="0088553E" w:rsidP="0088553E">
      <w:pPr>
        <w:pStyle w:val="BodyText"/>
        <w:spacing w:before="34" w:line="276" w:lineRule="auto"/>
        <w:ind w:left="709" w:hanging="709"/>
        <w:jc w:val="both"/>
      </w:pPr>
      <w:r>
        <w:t xml:space="preserve">Perry, V. G., &amp; Morris, M. D. (2005). Who </w:t>
      </w:r>
      <w:r w:rsidR="00A20BDF">
        <w:t>Is in Control? The Role of Self-Perception, Knowledge, And Income In Explaining Consumer Financial Behavior.</w:t>
      </w:r>
      <w:r w:rsidRPr="00A20BDF">
        <w:rPr>
          <w:i/>
          <w:iCs/>
        </w:rPr>
        <w:t xml:space="preserve"> In Journal of Consumer Affairs </w:t>
      </w:r>
      <w:r>
        <w:t>(Vol. 39, Issue 2). https://doi.org/10.1111/j.1745-6606.2005.00016.x</w:t>
      </w:r>
    </w:p>
    <w:p w14:paraId="558F51C9" w14:textId="77777777" w:rsidR="0088553E" w:rsidRPr="00EE5573" w:rsidRDefault="0088553E" w:rsidP="0088553E">
      <w:pPr>
        <w:pStyle w:val="BodyText"/>
        <w:spacing w:before="34" w:line="276" w:lineRule="auto"/>
        <w:ind w:left="709" w:hanging="709"/>
        <w:jc w:val="both"/>
        <w:rPr>
          <w:lang w:val="fi-FI"/>
        </w:rPr>
      </w:pPr>
      <w:r w:rsidRPr="00EE5573">
        <w:rPr>
          <w:lang w:val="fi-FI"/>
        </w:rPr>
        <w:t xml:space="preserve">Pranata, T. D. A., &amp; Utami, I. (2021). Studi Eksperimental atas Kontrol Diri dan Gaya Hidup: Dampaknya pada Niat Kecurangan. </w:t>
      </w:r>
      <w:r w:rsidRPr="005A4573">
        <w:rPr>
          <w:i/>
          <w:iCs/>
          <w:lang w:val="fi-FI"/>
        </w:rPr>
        <w:t>Jurnal Kajian Akuntansi</w:t>
      </w:r>
      <w:r w:rsidRPr="00EE5573">
        <w:rPr>
          <w:lang w:val="fi-FI"/>
        </w:rPr>
        <w:t>, 5(1). https://doi.org/10.33603/jka.v5i1.3581</w:t>
      </w:r>
    </w:p>
    <w:p w14:paraId="76416F72" w14:textId="3E6623B3" w:rsidR="0088553E" w:rsidRDefault="0088553E" w:rsidP="0088553E">
      <w:pPr>
        <w:pStyle w:val="BodyText"/>
        <w:spacing w:before="34" w:line="276" w:lineRule="auto"/>
        <w:ind w:left="709" w:hanging="709"/>
        <w:jc w:val="both"/>
      </w:pPr>
      <w:r>
        <w:t xml:space="preserve">Rahmarta, V., Pontoh, G. T., &amp; Said, D. (2024). Kekuatan Organisasional </w:t>
      </w:r>
      <w:r w:rsidR="005A4573">
        <w:t>d</w:t>
      </w:r>
      <w:r>
        <w:t xml:space="preserve">an Sistem </w:t>
      </w:r>
      <w:r w:rsidR="005A4573">
        <w:t>d</w:t>
      </w:r>
      <w:r>
        <w:t xml:space="preserve">alam Pencegahan Fraud: Suatu Tinjauan System Literature Review. </w:t>
      </w:r>
      <w:r w:rsidRPr="005A4573">
        <w:rPr>
          <w:i/>
          <w:iCs/>
        </w:rPr>
        <w:t xml:space="preserve">Substansi: Sumber Artikel Akuntansi Auditing </w:t>
      </w:r>
      <w:r w:rsidR="005A4573">
        <w:rPr>
          <w:i/>
          <w:iCs/>
        </w:rPr>
        <w:t>d</w:t>
      </w:r>
      <w:r w:rsidRPr="005A4573">
        <w:rPr>
          <w:i/>
          <w:iCs/>
        </w:rPr>
        <w:t>an Keuangan Vokasi</w:t>
      </w:r>
      <w:r>
        <w:t>, 8(1), 28–43. https://doi.org/</w:t>
      </w:r>
    </w:p>
    <w:p w14:paraId="475D6A0A" w14:textId="1DF3910B" w:rsidR="0088553E" w:rsidRDefault="0088553E" w:rsidP="0088553E">
      <w:pPr>
        <w:pStyle w:val="BodyText"/>
        <w:spacing w:before="34" w:line="276" w:lineRule="auto"/>
        <w:ind w:left="709" w:hanging="709"/>
        <w:jc w:val="both"/>
      </w:pPr>
      <w:r>
        <w:t xml:space="preserve">Sabri, M. F., Anthony, M., Law, S. H., Rahim, H. A., Burhan, N. A. S., &amp; Ithnin, M. (2024). Impact </w:t>
      </w:r>
      <w:r w:rsidR="005A4573">
        <w:t xml:space="preserve">of Financial Behaviour on Financial Well-Being: Evidence Among Young Adults in </w:t>
      </w:r>
      <w:r>
        <w:t xml:space="preserve">Malaysia. </w:t>
      </w:r>
      <w:r w:rsidRPr="005A4573">
        <w:rPr>
          <w:i/>
          <w:iCs/>
        </w:rPr>
        <w:t>Journal of Financial Services Marketing,</w:t>
      </w:r>
      <w:r>
        <w:t xml:space="preserve"> 29(3). https://doi.org/10.1057/s41264-023-00234-8</w:t>
      </w:r>
    </w:p>
    <w:p w14:paraId="65B9E4C3" w14:textId="6016773F" w:rsidR="0088553E" w:rsidRDefault="0088553E" w:rsidP="0088553E">
      <w:pPr>
        <w:pStyle w:val="BodyText"/>
        <w:spacing w:before="34" w:line="276" w:lineRule="auto"/>
        <w:ind w:left="709" w:hanging="709"/>
        <w:jc w:val="both"/>
      </w:pPr>
      <w:r>
        <w:t xml:space="preserve">Sandhu, N. (2022). Red </w:t>
      </w:r>
      <w:r w:rsidR="005A4573">
        <w:t>Flag Behaviors in Financial Services Frauds: a Mixed-Methods Study.</w:t>
      </w:r>
      <w:r>
        <w:t xml:space="preserve"> </w:t>
      </w:r>
      <w:r w:rsidRPr="005A4573">
        <w:rPr>
          <w:i/>
          <w:iCs/>
        </w:rPr>
        <w:t>Journal of Financial Regulation and Compliance,</w:t>
      </w:r>
      <w:r>
        <w:t xml:space="preserve"> 30(2). https://doi.org/10.1108/JFRC-01-2021-0005</w:t>
      </w:r>
    </w:p>
    <w:p w14:paraId="2789F298" w14:textId="08730833" w:rsidR="0088553E" w:rsidRDefault="0088553E" w:rsidP="0088553E">
      <w:pPr>
        <w:pStyle w:val="BodyText"/>
        <w:spacing w:before="34" w:line="276" w:lineRule="auto"/>
        <w:ind w:left="709" w:hanging="709"/>
        <w:jc w:val="both"/>
      </w:pPr>
      <w:r>
        <w:t xml:space="preserve">Spivak, I., Mihus, I., &amp; Greben, S. (2024). </w:t>
      </w:r>
      <w:r w:rsidR="005A4573">
        <w:t>Financial Literacy and Government Policies: an International Study</w:t>
      </w:r>
      <w:r>
        <w:t>.</w:t>
      </w:r>
      <w:r w:rsidRPr="005A4573">
        <w:rPr>
          <w:i/>
          <w:iCs/>
        </w:rPr>
        <w:t xml:space="preserve"> Public Administration and Law Review</w:t>
      </w:r>
      <w:r>
        <w:t>, 2(18), 21–33. https://doi.org/10.36690/2674-5216-2024-2-21-33</w:t>
      </w:r>
    </w:p>
    <w:p w14:paraId="722C7E51" w14:textId="77777777" w:rsidR="0088553E" w:rsidRPr="00EE5573" w:rsidRDefault="0088553E" w:rsidP="0088553E">
      <w:pPr>
        <w:pStyle w:val="BodyText"/>
        <w:spacing w:before="34" w:line="276" w:lineRule="auto"/>
        <w:ind w:left="709" w:hanging="709"/>
        <w:jc w:val="both"/>
        <w:rPr>
          <w:lang w:val="fi-FI"/>
        </w:rPr>
      </w:pPr>
      <w:r>
        <w:t xml:space="preserve">Subaida, I. (2024). The Influence of Financial Behavior on Financial Well-Being Through Financial Satisfaction. </w:t>
      </w:r>
      <w:r w:rsidRPr="00A20BDF">
        <w:rPr>
          <w:i/>
          <w:iCs/>
          <w:lang w:val="fi-FI"/>
        </w:rPr>
        <w:t>Jurnal Ekonomi Pembangunan,</w:t>
      </w:r>
      <w:r w:rsidRPr="00EE5573">
        <w:rPr>
          <w:lang w:val="fi-FI"/>
        </w:rPr>
        <w:t xml:space="preserve"> 22(01), 30–39. https://doi.org/10.22219/jep.v22i01.29654</w:t>
      </w:r>
    </w:p>
    <w:p w14:paraId="2FF6E61C" w14:textId="77777777" w:rsidR="0088553E" w:rsidRDefault="0088553E" w:rsidP="0088553E">
      <w:pPr>
        <w:pStyle w:val="BodyText"/>
        <w:spacing w:before="34" w:line="276" w:lineRule="auto"/>
        <w:ind w:left="709" w:hanging="709"/>
        <w:jc w:val="both"/>
      </w:pPr>
      <w:r w:rsidRPr="00EE5573">
        <w:rPr>
          <w:lang w:val="fi-FI"/>
        </w:rPr>
        <w:lastRenderedPageBreak/>
        <w:t xml:space="preserve">Sugiyono. (2022). </w:t>
      </w:r>
      <w:r w:rsidRPr="00B44CF0">
        <w:rPr>
          <w:i/>
          <w:iCs/>
          <w:lang w:val="fi-FI"/>
        </w:rPr>
        <w:t>Metode Penelitian Kuantitatif (Cetakan ke)</w:t>
      </w:r>
      <w:r w:rsidRPr="00EE5573">
        <w:rPr>
          <w:lang w:val="fi-FI"/>
        </w:rPr>
        <w:t xml:space="preserve">. </w:t>
      </w:r>
      <w:r>
        <w:t>Alfabeta.</w:t>
      </w:r>
    </w:p>
    <w:p w14:paraId="2DE67D3D" w14:textId="62D623BE" w:rsidR="0088553E" w:rsidRDefault="0088553E" w:rsidP="0088553E">
      <w:pPr>
        <w:pStyle w:val="BodyText"/>
        <w:spacing w:before="34" w:line="276" w:lineRule="auto"/>
        <w:ind w:left="709" w:hanging="709"/>
        <w:jc w:val="both"/>
      </w:pPr>
      <w:r>
        <w:t xml:space="preserve">Wells, J. T. (2017). </w:t>
      </w:r>
      <w:r w:rsidRPr="00B44CF0">
        <w:rPr>
          <w:i/>
          <w:iCs/>
        </w:rPr>
        <w:t>Corporate Fraud Handbook: Prevention and Detection (5th Editio</w:t>
      </w:r>
      <w:r w:rsidR="00B44CF0">
        <w:rPr>
          <w:i/>
          <w:iCs/>
        </w:rPr>
        <w:t>n</w:t>
      </w:r>
      <w:r w:rsidRPr="00B44CF0">
        <w:rPr>
          <w:i/>
          <w:iCs/>
        </w:rPr>
        <w:t>)</w:t>
      </w:r>
      <w:r>
        <w:t>. John Wiley &amp; Son Publishing.</w:t>
      </w:r>
    </w:p>
    <w:p w14:paraId="7E5F686B" w14:textId="77777777" w:rsidR="0088553E" w:rsidRDefault="0088553E" w:rsidP="0088553E">
      <w:pPr>
        <w:pStyle w:val="BodyText"/>
        <w:spacing w:before="34" w:line="276" w:lineRule="auto"/>
        <w:ind w:left="709" w:hanging="709"/>
        <w:jc w:val="both"/>
      </w:pPr>
      <w:r>
        <w:t xml:space="preserve">White, N., Packard, K., Kalkowski, J., Walters, R., Haddad, A. R., Flecky, K., Rusch, L., Furze, J., Black, L., &amp; Peterson, J. (2023). Improving Health through Action on Economic Stability: Results of the Finances First Randomized Controlled Trial of Financial Education and Coaching in Single Mothers of Low-Income. </w:t>
      </w:r>
      <w:r w:rsidRPr="00B44CF0">
        <w:rPr>
          <w:i/>
          <w:iCs/>
        </w:rPr>
        <w:t>American Journal of Lifestyle Medicine</w:t>
      </w:r>
      <w:r>
        <w:t>, 17(3). https://doi.org/10.1177/15598276211069537</w:t>
      </w:r>
    </w:p>
    <w:p w14:paraId="2D35DA37" w14:textId="76A0CD8F" w:rsidR="0088553E" w:rsidRDefault="0088553E" w:rsidP="0088553E">
      <w:pPr>
        <w:pStyle w:val="BodyText"/>
        <w:spacing w:before="34" w:line="276" w:lineRule="auto"/>
        <w:ind w:left="709" w:hanging="709"/>
        <w:jc w:val="both"/>
      </w:pPr>
      <w:r>
        <w:t xml:space="preserve">Wicaksono, B., &amp; Haryadi, B. (2022). </w:t>
      </w:r>
      <w:r w:rsidRPr="00EE5573">
        <w:rPr>
          <w:lang w:val="fi-FI"/>
        </w:rPr>
        <w:t xml:space="preserve">Deteksi Kecurangan Laporan Keuangan </w:t>
      </w:r>
      <w:r w:rsidR="00B44CF0">
        <w:rPr>
          <w:lang w:val="fi-FI"/>
        </w:rPr>
        <w:t>d</w:t>
      </w:r>
      <w:r w:rsidRPr="00EE5573">
        <w:rPr>
          <w:lang w:val="fi-FI"/>
        </w:rPr>
        <w:t>an Upaya Penanga</w:t>
      </w:r>
      <w:r w:rsidR="005C4CA9">
        <w:rPr>
          <w:lang w:val="fi-FI"/>
        </w:rPr>
        <w:t>n</w:t>
      </w:r>
      <w:r w:rsidRPr="00EE5573">
        <w:rPr>
          <w:lang w:val="fi-FI"/>
        </w:rPr>
        <w:t xml:space="preserve">nya </w:t>
      </w:r>
      <w:r w:rsidR="00B44CF0">
        <w:rPr>
          <w:lang w:val="fi-FI"/>
        </w:rPr>
        <w:t>p</w:t>
      </w:r>
      <w:r w:rsidRPr="00EE5573">
        <w:rPr>
          <w:lang w:val="fi-FI"/>
        </w:rPr>
        <w:t xml:space="preserve">ada Bank Perkreditan Rakyat. </w:t>
      </w:r>
      <w:r w:rsidRPr="00B44CF0">
        <w:rPr>
          <w:i/>
          <w:iCs/>
        </w:rPr>
        <w:t>InFestasi</w:t>
      </w:r>
      <w:r>
        <w:t>, 17(2). https://doi.org/10.21107/infestasi.v17i2.11672</w:t>
      </w:r>
    </w:p>
    <w:p w14:paraId="6F8A37E6" w14:textId="060147E0" w:rsidR="00801914" w:rsidRPr="00861476" w:rsidRDefault="0088553E" w:rsidP="0088553E">
      <w:pPr>
        <w:pStyle w:val="BodyText"/>
        <w:spacing w:before="34" w:line="276" w:lineRule="auto"/>
        <w:ind w:left="709" w:hanging="709"/>
        <w:jc w:val="both"/>
      </w:pPr>
      <w:r>
        <w:t xml:space="preserve">Zainuddin, A., Aziz, F. M. M., Harith, N. H. M., Rahim, M. A., &amp; Yusoff, B. (2024). Financial Literacy in Improving Financial Well-Being Among Female Civil Servants: A Study in Putrajaya. </w:t>
      </w:r>
      <w:r w:rsidRPr="00B44CF0">
        <w:rPr>
          <w:i/>
          <w:iCs/>
        </w:rPr>
        <w:t>Pakistan Journal of Life and Social Sciences</w:t>
      </w:r>
      <w:r>
        <w:t>, 22(2), 140–155. https://doi.org/10.57239/PJLSS-2024-22.2.0011</w:t>
      </w:r>
    </w:p>
    <w:p w14:paraId="248F5829" w14:textId="77777777" w:rsidR="00801914" w:rsidRPr="00786FE8" w:rsidRDefault="00801914" w:rsidP="00801914">
      <w:pPr>
        <w:spacing w:line="276" w:lineRule="auto"/>
        <w:rPr>
          <w:rFonts w:asciiTheme="majorBidi" w:hAnsiTheme="majorBidi" w:cstheme="majorBidi"/>
          <w:iCs/>
          <w:sz w:val="24"/>
          <w:szCs w:val="24"/>
        </w:rPr>
      </w:pPr>
      <w:r w:rsidRPr="00861476">
        <w:rPr>
          <w:rFonts w:ascii="Times New Roman" w:hAnsi="Times New Roman"/>
          <w:sz w:val="24"/>
          <w:szCs w:val="24"/>
          <w:lang w:val="fi-FI"/>
        </w:rPr>
        <w:fldChar w:fldCharType="end"/>
      </w:r>
    </w:p>
    <w:p w14:paraId="2A35DC10" w14:textId="77777777" w:rsidR="00801914" w:rsidRDefault="00801914" w:rsidP="00801914">
      <w:pPr>
        <w:spacing w:line="276" w:lineRule="auto"/>
      </w:pPr>
    </w:p>
    <w:p w14:paraId="6D89A198" w14:textId="77777777" w:rsidR="000B32CC" w:rsidRDefault="000B32CC"/>
    <w:sectPr w:rsidR="000B32CC" w:rsidSect="0037520B">
      <w:headerReference w:type="default" r:id="rId14"/>
      <w:footerReference w:type="default" r:id="rId15"/>
      <w:pgSz w:w="11907" w:h="16840" w:code="9"/>
      <w:pgMar w:top="1440" w:right="1440" w:bottom="1440" w:left="1440" w:header="709" w:footer="709" w:gutter="0"/>
      <w:pgNumType w:start="2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A18B7" w14:textId="77777777" w:rsidR="0071232F" w:rsidRDefault="0071232F" w:rsidP="004179ED">
      <w:r>
        <w:separator/>
      </w:r>
    </w:p>
  </w:endnote>
  <w:endnote w:type="continuationSeparator" w:id="0">
    <w:p w14:paraId="5FD4E126" w14:textId="77777777" w:rsidR="0071232F" w:rsidRDefault="0071232F" w:rsidP="0041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AA570" w14:textId="4527DF0D" w:rsidR="0037520B" w:rsidRDefault="0037520B" w:rsidP="0037520B">
    <w:pPr>
      <w:pStyle w:val="Footer"/>
      <w:pBdr>
        <w:top w:val="thinThickSmallGap" w:sz="24" w:space="1" w:color="823B0B"/>
      </w:pBdr>
      <w:tabs>
        <w:tab w:val="right" w:pos="9404"/>
      </w:tabs>
      <w:rPr>
        <w:noProof/>
      </w:rPr>
    </w:pPr>
    <w:proofErr w:type="spellStart"/>
    <w:r w:rsidRPr="004179ED">
      <w:rPr>
        <w:rFonts w:ascii="Times New Roman" w:hAnsi="Times New Roman"/>
        <w:b/>
        <w:bCs/>
        <w:sz w:val="15"/>
        <w:szCs w:val="15"/>
      </w:rPr>
      <w:t>Sugiyanto</w:t>
    </w:r>
    <w:proofErr w:type="spellEnd"/>
    <w:r w:rsidRPr="004179ED">
      <w:rPr>
        <w:rFonts w:ascii="Times New Roman" w:hAnsi="Times New Roman"/>
        <w:b/>
        <w:bCs/>
        <w:sz w:val="15"/>
        <w:szCs w:val="15"/>
      </w:rPr>
      <w:t xml:space="preserve">, </w:t>
    </w:r>
    <w:r>
      <w:rPr>
        <w:rFonts w:ascii="Times New Roman" w:hAnsi="Times New Roman"/>
        <w:b/>
        <w:bCs/>
        <w:sz w:val="15"/>
        <w:szCs w:val="15"/>
      </w:rPr>
      <w:t>et all</w:t>
    </w:r>
    <w:r w:rsidRPr="000D5E95">
      <w:rPr>
        <w:rFonts w:ascii="Times New Roman" w:hAnsi="Times New Roman"/>
        <w:b/>
        <w:bCs/>
        <w:sz w:val="15"/>
        <w:szCs w:val="15"/>
      </w:rPr>
      <w:t xml:space="preserve">: </w:t>
    </w:r>
    <w:r w:rsidRPr="004179ED">
      <w:rPr>
        <w:rFonts w:ascii="Times New Roman" w:hAnsi="Times New Roman"/>
        <w:sz w:val="15"/>
        <w:szCs w:val="15"/>
      </w:rPr>
      <w:t>Financial Behavior and Locus of Control: Key Factors in Understanding</w:t>
    </w:r>
    <w:r>
      <w:rPr>
        <w:rFonts w:ascii="Times New Roman" w:hAnsi="Times New Roman"/>
        <w:sz w:val="15"/>
        <w:szCs w:val="15"/>
      </w:rPr>
      <w:t xml:space="preserve"> </w:t>
    </w:r>
    <w:r w:rsidRPr="004179ED">
      <w:rPr>
        <w:rFonts w:ascii="Times New Roman" w:hAnsi="Times New Roman"/>
        <w:sz w:val="15"/>
        <w:szCs w:val="15"/>
      </w:rPr>
      <w:t>Financial Fraud Tendencies</w:t>
    </w:r>
    <w:r>
      <w:rPr>
        <w:rFonts w:ascii="Times New Roman" w:hAnsi="Times New Roman"/>
        <w:sz w:val="15"/>
        <w:szCs w:val="15"/>
      </w:rPr>
      <w:t xml:space="preserve"> ……………………</w:t>
    </w:r>
    <w:proofErr w:type="gramStart"/>
    <w:r>
      <w:rPr>
        <w:rFonts w:ascii="Times New Roman" w:hAnsi="Times New Roman"/>
        <w:sz w:val="15"/>
        <w:szCs w:val="15"/>
      </w:rPr>
      <w:t>…..</w:t>
    </w:r>
    <w:proofErr w:type="gramEnd"/>
    <w:r w:rsidRPr="00E963A1">
      <w:rPr>
        <w:rFonts w:ascii="Calibri Light" w:eastAsia="Times New Roman" w:hAnsi="Calibri Light"/>
      </w:rPr>
      <w:t xml:space="preserve"> </w:t>
    </w:r>
    <w:r>
      <w:fldChar w:fldCharType="begin"/>
    </w:r>
    <w:r>
      <w:instrText xml:space="preserve"> PAGE   \* MERGEFORMAT </w:instrText>
    </w:r>
    <w:r>
      <w:fldChar w:fldCharType="separate"/>
    </w:r>
    <w:r>
      <w:t>225</w:t>
    </w:r>
    <w:r>
      <w:rPr>
        <w:noProof/>
      </w:rPr>
      <w:fldChar w:fldCharType="end"/>
    </w:r>
  </w:p>
  <w:p w14:paraId="7291E9FE" w14:textId="77777777" w:rsidR="0037520B" w:rsidRPr="0037520B" w:rsidRDefault="0037520B" w:rsidP="00375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FC1E9" w14:textId="77777777" w:rsidR="0071232F" w:rsidRDefault="0071232F" w:rsidP="004179ED">
      <w:r>
        <w:separator/>
      </w:r>
    </w:p>
  </w:footnote>
  <w:footnote w:type="continuationSeparator" w:id="0">
    <w:p w14:paraId="4531A623" w14:textId="77777777" w:rsidR="0071232F" w:rsidRDefault="0071232F" w:rsidP="00417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5B1B2" w14:textId="77777777" w:rsidR="00801914" w:rsidRPr="00750F68" w:rsidRDefault="00801914" w:rsidP="003912BA">
    <w:pPr>
      <w:pStyle w:val="Header"/>
      <w:ind w:left="3407" w:firstLine="4248"/>
      <w:jc w:val="center"/>
      <w:rPr>
        <w:rFonts w:ascii="Cambria" w:hAnsi="Cambria" w:cs="Arial"/>
        <w:bCs/>
        <w:sz w:val="15"/>
        <w:szCs w:val="15"/>
      </w:rPr>
    </w:pPr>
    <w:r>
      <w:rPr>
        <w:noProof/>
      </w:rPr>
      <w:drawing>
        <wp:anchor distT="0" distB="0" distL="114300" distR="114300" simplePos="0" relativeHeight="251659264" behindDoc="0" locked="0" layoutInCell="1" allowOverlap="1" wp14:anchorId="6C6F1DCD" wp14:editId="7DD72294">
          <wp:simplePos x="0" y="0"/>
          <wp:positionH relativeFrom="column">
            <wp:posOffset>127635</wp:posOffset>
          </wp:positionH>
          <wp:positionV relativeFrom="paragraph">
            <wp:posOffset>-16510</wp:posOffset>
          </wp:positionV>
          <wp:extent cx="792480" cy="346075"/>
          <wp:effectExtent l="0" t="0" r="7620" b="15875"/>
          <wp:wrapNone/>
          <wp:docPr id="75827816" name="Picture 1" descr="Description: http://ejurnalunsam.id/public/site/images/rizal/1_Primary_logo_on_transparent_176x6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ejurnalunsam.id/public/site/images/rizal/1_Primary_logo_on_transparent_176x693.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92480" cy="346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hAnsi="Cambria" w:cs="Arial"/>
        <w:sz w:val="15"/>
        <w:szCs w:val="15"/>
      </w:rPr>
      <w:t>P-</w:t>
    </w:r>
    <w:proofErr w:type="gramStart"/>
    <w:r w:rsidRPr="00750F68">
      <w:rPr>
        <w:rFonts w:ascii="Cambria" w:hAnsi="Cambria" w:cs="Arial"/>
        <w:sz w:val="15"/>
        <w:szCs w:val="15"/>
      </w:rPr>
      <w:t>ISSN :</w:t>
    </w:r>
    <w:proofErr w:type="gramEnd"/>
    <w:r w:rsidRPr="00750F68">
      <w:rPr>
        <w:rFonts w:ascii="Cambria" w:hAnsi="Cambria" w:cs="Arial"/>
        <w:sz w:val="15"/>
        <w:szCs w:val="15"/>
      </w:rPr>
      <w:t xml:space="preserve"> </w:t>
    </w:r>
    <w:r w:rsidRPr="00750F68">
      <w:rPr>
        <w:rFonts w:ascii="Cambria" w:hAnsi="Cambria" w:cs="Arial"/>
        <w:bCs/>
        <w:sz w:val="15"/>
        <w:szCs w:val="15"/>
      </w:rPr>
      <w:t>2252-844X</w:t>
    </w:r>
  </w:p>
  <w:p w14:paraId="38FECAE3" w14:textId="77777777" w:rsidR="00801914" w:rsidRPr="00750F68" w:rsidRDefault="00801914" w:rsidP="003912BA">
    <w:pPr>
      <w:pStyle w:val="Header"/>
      <w:tabs>
        <w:tab w:val="left" w:pos="6315"/>
        <w:tab w:val="left" w:pos="7655"/>
        <w:tab w:val="right" w:pos="9070"/>
      </w:tabs>
      <w:rPr>
        <w:rFonts w:ascii="Cambria" w:hAnsi="Cambria" w:cs="Arial"/>
        <w:sz w:val="15"/>
        <w:szCs w:val="15"/>
      </w:rPr>
    </w:pPr>
    <w:r>
      <w:rPr>
        <w:rFonts w:ascii="Cambria" w:hAnsi="Cambria" w:cs="Arial"/>
        <w:sz w:val="15"/>
        <w:szCs w:val="15"/>
      </w:rPr>
      <w:tab/>
    </w:r>
    <w:r>
      <w:rPr>
        <w:rFonts w:ascii="Cambria" w:hAnsi="Cambria" w:cs="Arial"/>
        <w:sz w:val="15"/>
        <w:szCs w:val="15"/>
      </w:rPr>
      <w:tab/>
    </w:r>
    <w:r>
      <w:rPr>
        <w:rFonts w:ascii="Cambria" w:hAnsi="Cambria" w:cs="Arial"/>
        <w:sz w:val="15"/>
        <w:szCs w:val="15"/>
      </w:rPr>
      <w:tab/>
      <w:t xml:space="preserve">  E</w:t>
    </w:r>
    <w:r w:rsidRPr="00750F68">
      <w:rPr>
        <w:rFonts w:ascii="Cambria" w:hAnsi="Cambria" w:cs="Arial"/>
        <w:sz w:val="15"/>
        <w:szCs w:val="15"/>
      </w:rPr>
      <w:t>-</w:t>
    </w:r>
    <w:proofErr w:type="gramStart"/>
    <w:r w:rsidRPr="00750F68">
      <w:rPr>
        <w:rFonts w:ascii="Cambria" w:hAnsi="Cambria" w:cs="Arial"/>
        <w:sz w:val="15"/>
        <w:szCs w:val="15"/>
      </w:rPr>
      <w:t>ISSN :</w:t>
    </w:r>
    <w:proofErr w:type="gramEnd"/>
    <w:r w:rsidRPr="00750F68">
      <w:rPr>
        <w:rFonts w:ascii="Cambria" w:hAnsi="Cambria" w:cs="Arial"/>
        <w:sz w:val="15"/>
        <w:szCs w:val="15"/>
      </w:rPr>
      <w:t xml:space="preserve"> 2615-1316</w:t>
    </w:r>
  </w:p>
  <w:p w14:paraId="21BA3C69" w14:textId="77777777" w:rsidR="00801914" w:rsidRDefault="00801914" w:rsidP="003912BA">
    <w:pPr>
      <w:pStyle w:val="Header"/>
      <w:tabs>
        <w:tab w:val="left" w:pos="3119"/>
      </w:tabs>
      <w:jc w:val="right"/>
    </w:pPr>
    <w:r w:rsidRPr="00750F68">
      <w:rPr>
        <w:rFonts w:ascii="Cambria" w:hAnsi="Cambria" w:cs="Arial"/>
        <w:b/>
        <w:iCs/>
        <w:sz w:val="15"/>
        <w:szCs w:val="15"/>
      </w:rPr>
      <w:t>JURNAL MAN</w:t>
    </w:r>
    <w:r>
      <w:rPr>
        <w:rFonts w:ascii="Cambria" w:hAnsi="Cambria" w:cs="Arial"/>
        <w:b/>
        <w:iCs/>
        <w:sz w:val="15"/>
        <w:szCs w:val="15"/>
      </w:rPr>
      <w:t>AJEMEN DAN KEUANGAN, VOL.14, NO.2, NOVEMBER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F20C7"/>
    <w:multiLevelType w:val="multilevel"/>
    <w:tmpl w:val="6494EF8A"/>
    <w:lvl w:ilvl="0">
      <w:start w:val="1"/>
      <w:numFmt w:val="lowerLetter"/>
      <w:lvlText w:val="%1."/>
      <w:lvlJc w:val="righ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14"/>
    <w:rsid w:val="000B32CC"/>
    <w:rsid w:val="001B4E86"/>
    <w:rsid w:val="002C71EA"/>
    <w:rsid w:val="0034169F"/>
    <w:rsid w:val="00342A6D"/>
    <w:rsid w:val="0037520B"/>
    <w:rsid w:val="003F5113"/>
    <w:rsid w:val="004179ED"/>
    <w:rsid w:val="004A05EF"/>
    <w:rsid w:val="00531D90"/>
    <w:rsid w:val="005A4573"/>
    <w:rsid w:val="005C4CA9"/>
    <w:rsid w:val="005F2377"/>
    <w:rsid w:val="00641CC1"/>
    <w:rsid w:val="006C40DB"/>
    <w:rsid w:val="0071232F"/>
    <w:rsid w:val="007846C2"/>
    <w:rsid w:val="007A0389"/>
    <w:rsid w:val="00801914"/>
    <w:rsid w:val="00841FB7"/>
    <w:rsid w:val="0088553E"/>
    <w:rsid w:val="00A20BDF"/>
    <w:rsid w:val="00AD1685"/>
    <w:rsid w:val="00B44CF0"/>
    <w:rsid w:val="00B56271"/>
    <w:rsid w:val="00C234F3"/>
    <w:rsid w:val="00C523E5"/>
    <w:rsid w:val="00CA462E"/>
    <w:rsid w:val="00CA602A"/>
    <w:rsid w:val="00CF5428"/>
    <w:rsid w:val="00D22453"/>
    <w:rsid w:val="00D345A8"/>
    <w:rsid w:val="00E140F7"/>
    <w:rsid w:val="00E175EA"/>
    <w:rsid w:val="00EA5168"/>
    <w:rsid w:val="00EE5573"/>
    <w:rsid w:val="00F038C1"/>
    <w:rsid w:val="00FD36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C721F"/>
  <w15:chartTrackingRefBased/>
  <w15:docId w15:val="{C4CD2A2C-A575-4CF9-95BC-0F7BCBFEA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01914"/>
    <w:pPr>
      <w:widowControl w:val="0"/>
      <w:spacing w:after="0"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80191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0191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0191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0191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0191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019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9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9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9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91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0191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0191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0191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0191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01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914"/>
    <w:rPr>
      <w:rFonts w:eastAsiaTheme="majorEastAsia" w:cstheme="majorBidi"/>
      <w:color w:val="272727" w:themeColor="text1" w:themeTint="D8"/>
    </w:rPr>
  </w:style>
  <w:style w:type="paragraph" w:styleId="Title">
    <w:name w:val="Title"/>
    <w:basedOn w:val="Normal"/>
    <w:next w:val="Normal"/>
    <w:link w:val="TitleChar"/>
    <w:uiPriority w:val="10"/>
    <w:qFormat/>
    <w:rsid w:val="008019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914"/>
    <w:pPr>
      <w:spacing w:before="160"/>
      <w:jc w:val="center"/>
    </w:pPr>
    <w:rPr>
      <w:i/>
      <w:iCs/>
      <w:color w:val="404040" w:themeColor="text1" w:themeTint="BF"/>
    </w:rPr>
  </w:style>
  <w:style w:type="character" w:customStyle="1" w:styleId="QuoteChar">
    <w:name w:val="Quote Char"/>
    <w:basedOn w:val="DefaultParagraphFont"/>
    <w:link w:val="Quote"/>
    <w:uiPriority w:val="29"/>
    <w:rsid w:val="00801914"/>
    <w:rPr>
      <w:i/>
      <w:iCs/>
      <w:color w:val="404040" w:themeColor="text1" w:themeTint="BF"/>
    </w:rPr>
  </w:style>
  <w:style w:type="paragraph" w:styleId="ListParagraph">
    <w:name w:val="List Paragraph"/>
    <w:aliases w:val="Body of text"/>
    <w:basedOn w:val="Normal"/>
    <w:link w:val="ListParagraphChar"/>
    <w:uiPriority w:val="34"/>
    <w:qFormat/>
    <w:rsid w:val="00801914"/>
    <w:pPr>
      <w:ind w:left="720"/>
      <w:contextualSpacing/>
    </w:pPr>
  </w:style>
  <w:style w:type="character" w:styleId="IntenseEmphasis">
    <w:name w:val="Intense Emphasis"/>
    <w:basedOn w:val="DefaultParagraphFont"/>
    <w:uiPriority w:val="21"/>
    <w:qFormat/>
    <w:rsid w:val="00801914"/>
    <w:rPr>
      <w:i/>
      <w:iCs/>
      <w:color w:val="2E74B5" w:themeColor="accent1" w:themeShade="BF"/>
    </w:rPr>
  </w:style>
  <w:style w:type="paragraph" w:styleId="IntenseQuote">
    <w:name w:val="Intense Quote"/>
    <w:basedOn w:val="Normal"/>
    <w:next w:val="Normal"/>
    <w:link w:val="IntenseQuoteChar"/>
    <w:uiPriority w:val="30"/>
    <w:qFormat/>
    <w:rsid w:val="0080191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01914"/>
    <w:rPr>
      <w:i/>
      <w:iCs/>
      <w:color w:val="2E74B5" w:themeColor="accent1" w:themeShade="BF"/>
    </w:rPr>
  </w:style>
  <w:style w:type="character" w:styleId="IntenseReference">
    <w:name w:val="Intense Reference"/>
    <w:basedOn w:val="DefaultParagraphFont"/>
    <w:uiPriority w:val="32"/>
    <w:qFormat/>
    <w:rsid w:val="00801914"/>
    <w:rPr>
      <w:b/>
      <w:bCs/>
      <w:smallCaps/>
      <w:color w:val="2E74B5" w:themeColor="accent1" w:themeShade="BF"/>
      <w:spacing w:val="5"/>
    </w:rPr>
  </w:style>
  <w:style w:type="paragraph" w:styleId="BodyText">
    <w:name w:val="Body Text"/>
    <w:basedOn w:val="Normal"/>
    <w:link w:val="BodyTextChar"/>
    <w:uiPriority w:val="1"/>
    <w:qFormat/>
    <w:rsid w:val="00801914"/>
    <w:pPr>
      <w:ind w:left="572"/>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801914"/>
    <w:rPr>
      <w:rFonts w:ascii="Times New Roman" w:eastAsia="Times New Roman" w:hAnsi="Times New Roman" w:cs="Times New Roman"/>
      <w:kern w:val="0"/>
      <w:sz w:val="24"/>
      <w:szCs w:val="24"/>
      <w14:ligatures w14:val="none"/>
    </w:rPr>
  </w:style>
  <w:style w:type="paragraph" w:customStyle="1" w:styleId="Authors">
    <w:name w:val="Authors"/>
    <w:basedOn w:val="Normal"/>
    <w:next w:val="Normal"/>
    <w:rsid w:val="00801914"/>
    <w:pPr>
      <w:widowControl/>
      <w:suppressAutoHyphens/>
      <w:jc w:val="center"/>
    </w:pPr>
    <w:rPr>
      <w:rFonts w:ascii="Times New Roman" w:eastAsia="Times New Roman" w:hAnsi="Times New Roman"/>
      <w:sz w:val="24"/>
      <w:szCs w:val="24"/>
      <w:lang w:val="hr-HR" w:eastAsia="id-ID"/>
    </w:rPr>
  </w:style>
  <w:style w:type="paragraph" w:styleId="Header">
    <w:name w:val="header"/>
    <w:basedOn w:val="Normal"/>
    <w:link w:val="HeaderChar"/>
    <w:uiPriority w:val="99"/>
    <w:unhideWhenUsed/>
    <w:rsid w:val="00801914"/>
    <w:pPr>
      <w:tabs>
        <w:tab w:val="center" w:pos="4513"/>
        <w:tab w:val="right" w:pos="9026"/>
      </w:tabs>
    </w:pPr>
  </w:style>
  <w:style w:type="character" w:customStyle="1" w:styleId="HeaderChar">
    <w:name w:val="Header Char"/>
    <w:basedOn w:val="DefaultParagraphFont"/>
    <w:link w:val="Header"/>
    <w:uiPriority w:val="99"/>
    <w:rsid w:val="00801914"/>
    <w:rPr>
      <w:rFonts w:ascii="Calibri" w:eastAsia="Calibri" w:hAnsi="Calibri" w:cs="Times New Roman"/>
      <w:kern w:val="0"/>
      <w14:ligatures w14:val="none"/>
    </w:rPr>
  </w:style>
  <w:style w:type="paragraph" w:styleId="Footer">
    <w:name w:val="footer"/>
    <w:basedOn w:val="Normal"/>
    <w:link w:val="FooterChar"/>
    <w:uiPriority w:val="99"/>
    <w:unhideWhenUsed/>
    <w:rsid w:val="00801914"/>
    <w:pPr>
      <w:tabs>
        <w:tab w:val="center" w:pos="4513"/>
        <w:tab w:val="right" w:pos="9026"/>
      </w:tabs>
    </w:pPr>
  </w:style>
  <w:style w:type="character" w:customStyle="1" w:styleId="FooterChar">
    <w:name w:val="Footer Char"/>
    <w:basedOn w:val="DefaultParagraphFont"/>
    <w:link w:val="Footer"/>
    <w:uiPriority w:val="99"/>
    <w:rsid w:val="00801914"/>
    <w:rPr>
      <w:rFonts w:ascii="Calibri" w:eastAsia="Calibri" w:hAnsi="Calibri" w:cs="Times New Roman"/>
      <w:kern w:val="0"/>
      <w14:ligatures w14:val="none"/>
    </w:rPr>
  </w:style>
  <w:style w:type="character" w:customStyle="1" w:styleId="ListParagraphChar">
    <w:name w:val="List Paragraph Char"/>
    <w:aliases w:val="Body of text Char"/>
    <w:link w:val="ListParagraph"/>
    <w:uiPriority w:val="34"/>
    <w:locked/>
    <w:rsid w:val="00801914"/>
    <w:rPr>
      <w:rFonts w:ascii="Calibri" w:eastAsia="Calibri" w:hAnsi="Calibri" w:cs="Times New Roman"/>
      <w:kern w:val="0"/>
      <w14:ligatures w14:val="none"/>
    </w:rPr>
  </w:style>
  <w:style w:type="paragraph" w:styleId="NormalWeb">
    <w:name w:val="Normal (Web)"/>
    <w:basedOn w:val="Normal"/>
    <w:uiPriority w:val="99"/>
    <w:unhideWhenUsed/>
    <w:rsid w:val="00801914"/>
    <w:pPr>
      <w:widowControl/>
      <w:spacing w:before="100" w:beforeAutospacing="1" w:after="100" w:afterAutospacing="1"/>
    </w:pPr>
    <w:rPr>
      <w:rFonts w:ascii="Times New Roman" w:eastAsia="Times New Roman" w:hAnsi="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ejurnalunsam.id/public/site/images/rizal/1_Primary_logo_on_transparent_176x693.png" TargetMode="External"/><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21270</Words>
  <Characters>121240</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 Gunanjar</dc:creator>
  <cp:keywords/>
  <dc:description/>
  <cp:lastModifiedBy>rizqi zati</cp:lastModifiedBy>
  <cp:revision>2</cp:revision>
  <dcterms:created xsi:type="dcterms:W3CDTF">2025-11-05T11:42:00Z</dcterms:created>
  <dcterms:modified xsi:type="dcterms:W3CDTF">2025-11-05T11:42:00Z</dcterms:modified>
</cp:coreProperties>
</file>