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40" w:lineRule="auto"/>
        <w:jc w:val="center"/>
        <w:textAlignment w:val="center"/>
        <w:rPr>
          <w:rFonts w:ascii="Times New Roman" w:hAnsi="Times New Roman" w:cs="Times New Roman"/>
          <w:sz w:val="24"/>
          <w:szCs w:val="24"/>
          <w:lang w:val="zh-CN"/>
        </w:rPr>
      </w:pPr>
      <w:r>
        <w:rPr>
          <w:rFonts w:ascii="Times New Roman" w:hAnsi="Times New Roman" w:cs="Times New Roman"/>
          <w:color w:val="000000"/>
          <w:sz w:val="24"/>
          <w:szCs w:val="24"/>
        </w:rPr>
        <w:t>Samuka</w:t>
      </w:r>
      <w:r>
        <w:rPr>
          <w:rFonts w:ascii="Times New Roman" w:hAnsi="Times New Roman" w:cs="Times New Roman"/>
          <w:color w:val="000000"/>
          <w:sz w:val="24"/>
          <w:szCs w:val="24"/>
          <w:lang w:val="en-GB"/>
        </w:rPr>
        <w:t xml:space="preserve"> </w:t>
      </w:r>
      <w:r>
        <w:rPr>
          <w:rFonts w:ascii="Times New Roman" w:hAnsi="Times New Roman" w:cs="Times New Roman"/>
          <w:color w:val="000000"/>
          <w:sz w:val="24"/>
          <w:szCs w:val="24"/>
        </w:rPr>
        <w:t xml:space="preserve">Vol.5 No.1 </w:t>
      </w:r>
      <w:r>
        <w:rPr>
          <w:rFonts w:ascii="Times New Roman" w:hAnsi="Times New Roman" w:cs="Times New Roman"/>
          <w:color w:val="000000"/>
          <w:sz w:val="24"/>
          <w:szCs w:val="24"/>
          <w:lang w:val="en-GB"/>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zh-CN"/>
        </w:rPr>
        <w:t>hlm 45-55</w:t>
      </w:r>
    </w:p>
    <w:p>
      <w:pPr>
        <w:autoSpaceDE w:val="0"/>
        <w:autoSpaceDN w:val="0"/>
        <w:adjustRightInd w:val="0"/>
        <w:spacing w:after="0" w:line="240" w:lineRule="auto"/>
        <w:jc w:val="center"/>
        <w:textAlignment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SAMUKA</w:t>
      </w:r>
    </w:p>
    <w:p>
      <w:pPr>
        <w:autoSpaceDE w:val="0"/>
        <w:autoSpaceDN w:val="0"/>
        <w:adjustRightInd w:val="0"/>
        <w:spacing w:after="0" w:line="240" w:lineRule="auto"/>
        <w:jc w:val="center"/>
        <w:textAlignment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Jurnal Samudra Ekonomika</w:t>
      </w:r>
    </w:p>
    <w:p>
      <w:pPr>
        <w:pBdr>
          <w:bottom w:val="single" w:color="auto" w:sz="4" w:space="1"/>
        </w:pBdr>
        <w:spacing w:after="0" w:line="240" w:lineRule="auto"/>
        <w:jc w:val="center"/>
        <w:rPr>
          <w:rFonts w:ascii="Times New Roman" w:hAnsi="Times New Roman" w:cs="Times New Roman"/>
          <w:b/>
          <w:bCs/>
          <w:color w:val="000000"/>
          <w:sz w:val="28"/>
          <w:szCs w:val="28"/>
        </w:rPr>
      </w:pPr>
      <w:r>
        <w:rPr>
          <w:rFonts w:ascii="Times New Roman" w:hAnsi="Times New Roman" w:cs="Times New Roman"/>
          <w:color w:val="000000"/>
          <w:sz w:val="24"/>
          <w:szCs w:val="24"/>
          <w:lang w:val="en-GB"/>
        </w:rPr>
        <w:t>https://ejurnalunsam.id/index.php/jse</w:t>
      </w:r>
    </w:p>
    <w:p>
      <w:pPr>
        <w:spacing w:after="0" w:line="240" w:lineRule="auto"/>
        <w:jc w:val="center"/>
        <w:rPr>
          <w:rFonts w:ascii="Times New Roman" w:hAnsi="Times New Roman" w:cs="Times New Roman"/>
          <w:b/>
          <w:bCs/>
          <w:color w:val="000000"/>
          <w:sz w:val="28"/>
          <w:szCs w:val="28"/>
          <w:lang w:val="zh-CN"/>
        </w:rPr>
      </w:pPr>
      <w:r>
        <w:rPr>
          <w:rFonts w:ascii="Times New Roman" w:hAnsi="Times New Roman" w:cs="Times New Roman"/>
          <w:b/>
          <w:bCs/>
          <w:color w:val="000000"/>
          <w:sz w:val="28"/>
          <w:szCs w:val="28"/>
          <w:lang w:val="zh-CN"/>
        </w:rPr>
        <w:t>DETERMINAN PENDAPATAN ASLI DAERAH (PAD) di KABUPATEN ACEH TIMUR</w:t>
      </w:r>
    </w:p>
    <w:p>
      <w:pPr>
        <w:spacing w:after="0" w:line="240" w:lineRule="auto"/>
        <w:jc w:val="center"/>
        <w:rPr>
          <w:rFonts w:ascii="Times New Roman" w:hAnsi="Times New Roman" w:cs="Times New Roman"/>
          <w:b/>
          <w:bCs/>
          <w:color w:val="000000"/>
          <w:sz w:val="24"/>
          <w:szCs w:val="24"/>
        </w:rPr>
      </w:pPr>
    </w:p>
    <w:p>
      <w:pPr>
        <w:spacing w:after="0" w:line="240" w:lineRule="auto"/>
        <w:jc w:val="center"/>
        <w:rPr>
          <w:rFonts w:hint="default" w:ascii="Times New Roman" w:hAnsi="Times New Roman" w:cs="Times New Roman"/>
          <w:bCs/>
          <w:color w:val="000000"/>
          <w:sz w:val="24"/>
          <w:szCs w:val="24"/>
          <w:vertAlign w:val="superscript"/>
          <w:lang w:val="en"/>
        </w:rPr>
      </w:pPr>
      <w:r>
        <w:rPr>
          <w:rFonts w:hint="default" w:ascii="Times New Roman" w:hAnsi="Times New Roman" w:cs="Times New Roman"/>
          <w:bCs/>
          <w:color w:val="000000"/>
          <w:sz w:val="24"/>
          <w:szCs w:val="24"/>
          <w:lang w:val="en"/>
        </w:rPr>
        <w:t>Ziaul Maula</w:t>
      </w:r>
      <w:r>
        <w:rPr>
          <w:rFonts w:hint="default" w:ascii="Times New Roman" w:hAnsi="Times New Roman" w:cs="Times New Roman"/>
          <w:bCs/>
          <w:color w:val="000000"/>
          <w:sz w:val="24"/>
          <w:szCs w:val="24"/>
          <w:vertAlign w:val="superscript"/>
          <w:lang w:val="en"/>
        </w:rPr>
        <w:t>1</w:t>
      </w:r>
      <w:r>
        <w:rPr>
          <w:rFonts w:hint="default" w:ascii="Times New Roman" w:hAnsi="Times New Roman" w:cs="Times New Roman"/>
          <w:bCs/>
          <w:color w:val="000000"/>
          <w:sz w:val="24"/>
          <w:szCs w:val="24"/>
          <w:vertAlign w:val="baseline"/>
          <w:lang w:val="en"/>
        </w:rPr>
        <w:t>,</w:t>
      </w:r>
      <w:r>
        <w:rPr>
          <w:rFonts w:ascii="Times New Roman" w:hAnsi="Times New Roman" w:cs="Times New Roman"/>
          <w:bCs/>
          <w:color w:val="000000"/>
          <w:sz w:val="24"/>
          <w:szCs w:val="24"/>
        </w:rPr>
        <w:t>Nurlina</w:t>
      </w:r>
      <w:r>
        <w:rPr>
          <w:rFonts w:hint="default" w:ascii="Times New Roman" w:hAnsi="Times New Roman" w:cs="Times New Roman"/>
          <w:bCs/>
          <w:color w:val="000000"/>
          <w:sz w:val="24"/>
          <w:szCs w:val="24"/>
          <w:vertAlign w:val="superscript"/>
          <w:lang w:val="en"/>
        </w:rPr>
        <w:t>2</w:t>
      </w:r>
      <w:r>
        <w:rPr>
          <w:rFonts w:ascii="Times New Roman" w:hAnsi="Times New Roman" w:cs="Times New Roman"/>
          <w:bCs/>
          <w:color w:val="000000"/>
          <w:sz w:val="24"/>
          <w:szCs w:val="24"/>
        </w:rPr>
        <w:t>, Intan Sari</w:t>
      </w:r>
      <w:r>
        <w:rPr>
          <w:rFonts w:hint="default" w:ascii="Times New Roman" w:hAnsi="Times New Roman" w:cs="Times New Roman"/>
          <w:bCs/>
          <w:color w:val="000000"/>
          <w:sz w:val="24"/>
          <w:szCs w:val="24"/>
          <w:vertAlign w:val="superscript"/>
          <w:lang w:val="en"/>
        </w:rPr>
        <w:t>3</w:t>
      </w:r>
    </w:p>
    <w:p>
      <w:pPr>
        <w:spacing w:after="0" w:line="240" w:lineRule="auto"/>
        <w:jc w:val="center"/>
        <w:rPr>
          <w:rFonts w:ascii="Times New Roman" w:hAnsi="Times New Roman" w:cs="Times New Roman"/>
          <w:bCs/>
          <w:color w:val="000000"/>
          <w:sz w:val="24"/>
          <w:szCs w:val="24"/>
        </w:rPr>
      </w:pPr>
      <w:r>
        <w:fldChar w:fldCharType="begin"/>
      </w:r>
      <w:r>
        <w:instrText xml:space="preserve"> HYPERLINK "mailto:nurlina@unsam.ac.id" </w:instrText>
      </w:r>
      <w:r>
        <w:fldChar w:fldCharType="separate"/>
      </w:r>
      <w:r>
        <w:rPr>
          <w:rStyle w:val="7"/>
          <w:rFonts w:ascii="Times New Roman" w:hAnsi="Times New Roman" w:cs="Times New Roman"/>
          <w:bCs/>
          <w:sz w:val="24"/>
          <w:szCs w:val="24"/>
        </w:rPr>
        <w:t>nurlina@unsam.ac.id</w:t>
      </w:r>
      <w:r>
        <w:rPr>
          <w:rStyle w:val="7"/>
          <w:rFonts w:ascii="Times New Roman" w:hAnsi="Times New Roman" w:cs="Times New Roman"/>
          <w:bCs/>
          <w:sz w:val="24"/>
          <w:szCs w:val="24"/>
        </w:rPr>
        <w:fldChar w:fldCharType="end"/>
      </w:r>
    </w:p>
    <w:p>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vertAlign w:val="superscript"/>
        </w:rPr>
        <w:t>1,2</w:t>
      </w:r>
      <w:r>
        <w:rPr>
          <w:rFonts w:hint="default" w:ascii="Times New Roman" w:hAnsi="Times New Roman" w:cs="Times New Roman"/>
          <w:bCs/>
          <w:color w:val="000000"/>
          <w:sz w:val="24"/>
          <w:szCs w:val="24"/>
          <w:vertAlign w:val="superscript"/>
          <w:lang w:val="en"/>
        </w:rPr>
        <w:t>,3</w:t>
      </w:r>
      <w:r>
        <w:rPr>
          <w:rFonts w:ascii="Times New Roman" w:hAnsi="Times New Roman" w:cs="Times New Roman"/>
          <w:bCs/>
          <w:color w:val="000000"/>
          <w:sz w:val="24"/>
          <w:szCs w:val="24"/>
          <w:vertAlign w:val="superscript"/>
        </w:rPr>
        <w:t xml:space="preserve"> </w:t>
      </w:r>
      <w:r>
        <w:rPr>
          <w:rFonts w:hint="default" w:ascii="Times New Roman" w:hAnsi="Times New Roman" w:cs="Times New Roman"/>
          <w:bCs/>
          <w:color w:val="000000"/>
          <w:sz w:val="24"/>
          <w:szCs w:val="24"/>
          <w:lang w:val="en"/>
        </w:rPr>
        <w:t>Fakultas Ekonomi</w:t>
      </w:r>
      <w:r>
        <w:rPr>
          <w:rFonts w:ascii="Times New Roman" w:hAnsi="Times New Roman" w:cs="Times New Roman"/>
          <w:bCs/>
          <w:color w:val="000000"/>
          <w:sz w:val="24"/>
          <w:szCs w:val="24"/>
        </w:rPr>
        <w:t xml:space="preserve"> Universitas Samudra, Langsa</w:t>
      </w:r>
    </w:p>
    <w:p>
      <w:pPr>
        <w:shd w:val="clear" w:color="auto" w:fill="FFFFFF"/>
        <w:spacing w:after="0" w:line="240" w:lineRule="auto"/>
        <w:jc w:val="center"/>
        <w:rPr>
          <w:rFonts w:ascii="Times New Roman" w:hAnsi="Times New Roman" w:eastAsia="Times New Roman" w:cs="Times New Roman"/>
          <w:sz w:val="24"/>
          <w:szCs w:val="24"/>
          <w:lang w:eastAsia="id-ID"/>
        </w:rPr>
      </w:pPr>
      <w:r>
        <w:rPr>
          <w:rFonts w:ascii="Times New Roman" w:hAnsi="Times New Roman" w:eastAsia="Times New Roman" w:cs="Times New Roman"/>
          <w:sz w:val="24"/>
          <w:szCs w:val="24"/>
          <w:lang w:eastAsia="id-ID"/>
        </w:rPr>
        <w:t>Jl. Prof. Dr. Syarief Thayeb, Meurandeh,Kota Langsa, Aceh 24416</w:t>
      </w:r>
    </w:p>
    <w:p>
      <w:pPr>
        <w:spacing w:after="0" w:line="240" w:lineRule="auto"/>
        <w:jc w:val="center"/>
        <w:rPr>
          <w:rFonts w:ascii="Times New Roman" w:hAnsi="Times New Roman" w:cs="Times New Roman"/>
          <w:bCs/>
          <w:color w:val="000000"/>
          <w:sz w:val="24"/>
          <w:szCs w:val="24"/>
          <w:lang w:val="zh-CN"/>
        </w:rPr>
      </w:pPr>
      <w:r>
        <w:rPr>
          <w:rFonts w:ascii="Times New Roman" w:hAnsi="Times New Roman" w:cs="Times New Roman"/>
          <w:sz w:val="24"/>
          <w:szCs w:val="24"/>
        </w:rPr>
        <w:t>Received:</w:t>
      </w:r>
      <w:r>
        <w:rPr>
          <w:rFonts w:ascii="Times New Roman" w:hAnsi="Times New Roman" w:cs="Times New Roman"/>
          <w:sz w:val="24"/>
          <w:szCs w:val="24"/>
          <w:lang w:val="zh-CN"/>
        </w:rPr>
        <w:t xml:space="preserve"> Maret</w:t>
      </w:r>
      <w:r>
        <w:rPr>
          <w:rFonts w:ascii="Times New Roman" w:hAnsi="Times New Roman" w:cs="Times New Roman"/>
          <w:sz w:val="24"/>
          <w:szCs w:val="24"/>
        </w:rPr>
        <w:t>; Accepted:</w:t>
      </w:r>
      <w:r>
        <w:rPr>
          <w:rFonts w:ascii="Times New Roman" w:hAnsi="Times New Roman" w:cs="Times New Roman"/>
          <w:sz w:val="24"/>
          <w:szCs w:val="24"/>
          <w:lang w:val="zh-CN"/>
        </w:rPr>
        <w:t xml:space="preserve"> Maret 2021;</w:t>
      </w:r>
      <w:r>
        <w:rPr>
          <w:rFonts w:ascii="Times New Roman" w:hAnsi="Times New Roman" w:cs="Times New Roman"/>
          <w:sz w:val="24"/>
          <w:szCs w:val="24"/>
        </w:rPr>
        <w:t xml:space="preserve"> Published:</w:t>
      </w:r>
      <w:r>
        <w:rPr>
          <w:rFonts w:ascii="Times New Roman" w:hAnsi="Times New Roman" w:cs="Times New Roman"/>
          <w:sz w:val="24"/>
          <w:szCs w:val="24"/>
          <w:lang w:val="zh-CN"/>
        </w:rPr>
        <w:t xml:space="preserve"> Maret 2021</w:t>
      </w:r>
    </w:p>
    <w:p>
      <w:pPr>
        <w:pBdr>
          <w:bottom w:val="single" w:color="auto" w:sz="4" w:space="1"/>
        </w:pBdr>
        <w:spacing w:after="0" w:line="240" w:lineRule="auto"/>
        <w:jc w:val="center"/>
        <w:rPr>
          <w:rFonts w:ascii="Times New Roman" w:hAnsi="Times New Roman" w:cs="Times New Roman"/>
          <w:b/>
          <w:bCs/>
          <w:color w:val="000000"/>
          <w:sz w:val="24"/>
          <w:szCs w:val="24"/>
        </w:rPr>
      </w:pPr>
    </w:p>
    <w:p>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Abstrak</w:t>
      </w:r>
    </w:p>
    <w:p>
      <w:p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bCs/>
          <w:color w:val="000000"/>
          <w:sz w:val="20"/>
          <w:szCs w:val="20"/>
        </w:rPr>
        <w:t xml:space="preserve">Penelitian ini bertujuan untuk mengetahui pengaruh pajak penerangan jalan, pajak reklame dan retribusi daerah  dan laba Badan Usaha Milik Daerah terhadap pendapatan asli daerah (PAD) Kabupaten Aceh Timur. Menggunakan data sekuder dari BPKAD Aceh Timur tahun 2007-2019. Model yang digunakan adalah regresi linear berganda. Hasil penelitian menunjukkan Y = 116.329,546 + 21,015 X1  + 387,821 X2 -0,116 X3  + 18,861 X4, </w:t>
      </w:r>
      <w:r>
        <w:rPr>
          <w:rFonts w:ascii="Times New Roman" w:hAnsi="Times New Roman" w:cs="Times New Roman"/>
          <w:color w:val="000000"/>
          <w:sz w:val="20"/>
          <w:szCs w:val="20"/>
        </w:rPr>
        <w:t>Secara parsial Pajak Penerangan Jalan, Pajak Reklame, laba badan usaha milik daerah berpengaruh signifikan terhadap pendapatan asli daerah. Sedangkan retribusi daerah tidak memberi pengaruh yang nyata terhadap Pendapatan Asli Daerah. Secara simultan Pajak Penerangan Jalan, Pajak Reklame, Retribusi Daerah dan Laba Badan Usaha Milik Daerah berpengaruh signifikan. Nilai korelasi (R) adalah 0,968. Nilai R Square adalah 93,8% menunjukkan bahwa Pajak Penerangan Jalan, Pajak Reklame, Retribusi Daerah dan laba badan usaha milik daerah terhadap Pendapatan Asli Daerah adalah 93,8% dan sisanya 6,2% dipengaruhi oleh variabel lain di luar penelitian ini.</w:t>
      </w:r>
    </w:p>
    <w:p>
      <w:pPr>
        <w:autoSpaceDE w:val="0"/>
        <w:autoSpaceDN w:val="0"/>
        <w:adjustRightInd w:val="0"/>
        <w:spacing w:after="0" w:line="240" w:lineRule="auto"/>
        <w:jc w:val="both"/>
        <w:rPr>
          <w:rFonts w:ascii="Times New Roman" w:hAnsi="Times New Roman" w:cs="Times New Roman"/>
          <w:color w:val="000000"/>
          <w:sz w:val="20"/>
          <w:szCs w:val="20"/>
        </w:rPr>
      </w:pPr>
    </w:p>
    <w:p>
      <w:pPr>
        <w:autoSpaceDE w:val="0"/>
        <w:autoSpaceDN w:val="0"/>
        <w:adjustRightInd w:val="0"/>
        <w:spacing w:after="0" w:line="240" w:lineRule="auto"/>
        <w:jc w:val="both"/>
        <w:rPr>
          <w:rFonts w:ascii="Times New Roman" w:hAnsi="Times New Roman" w:cs="Times New Roman"/>
          <w:bCs/>
          <w:color w:val="000000"/>
          <w:sz w:val="20"/>
          <w:szCs w:val="20"/>
        </w:rPr>
      </w:pPr>
      <w:r>
        <w:rPr>
          <w:rFonts w:ascii="Times New Roman" w:hAnsi="Times New Roman" w:cs="Times New Roman"/>
          <w:b/>
          <w:color w:val="000000"/>
          <w:sz w:val="20"/>
          <w:szCs w:val="20"/>
        </w:rPr>
        <w:t>Kata kunci:</w:t>
      </w:r>
      <w:r>
        <w:rPr>
          <w:rFonts w:ascii="Times New Roman" w:hAnsi="Times New Roman" w:cs="Times New Roman"/>
          <w:color w:val="000000"/>
          <w:sz w:val="20"/>
          <w:szCs w:val="20"/>
        </w:rPr>
        <w:t xml:space="preserve"> </w:t>
      </w:r>
      <w:r>
        <w:rPr>
          <w:rFonts w:ascii="Times New Roman" w:hAnsi="Times New Roman" w:cs="Times New Roman"/>
          <w:bCs/>
          <w:color w:val="000000"/>
          <w:sz w:val="20"/>
          <w:szCs w:val="20"/>
        </w:rPr>
        <w:t>Pajak, Retribusi, Keuntungan BUMD, PAD</w:t>
      </w:r>
    </w:p>
    <w:p>
      <w:pPr>
        <w:autoSpaceDE w:val="0"/>
        <w:autoSpaceDN w:val="0"/>
        <w:adjustRightInd w:val="0"/>
        <w:spacing w:after="0" w:line="240" w:lineRule="auto"/>
        <w:jc w:val="both"/>
        <w:rPr>
          <w:rFonts w:ascii="Times New Roman" w:hAnsi="Times New Roman" w:cs="Times New Roman"/>
          <w:bCs/>
          <w:color w:val="000000"/>
          <w:sz w:val="20"/>
          <w:szCs w:val="20"/>
        </w:rPr>
      </w:pPr>
    </w:p>
    <w:p>
      <w:pPr>
        <w:tabs>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This study aims to determine the effect of street lighting tax, advertisement tax and regional levies and the profit of Regional Owned Enterprises on local revenue (ELR) of Aceh Timur Regency. Using secondary data from BPKAD Aceh Timur 2007-2019. The model used is multiple linear regression. The results showed Y = 116,329,546 + 21,015 X1 + 387,821 X2 -0,116 X3 + 18,861 X4, Partially Street Lighting Tax, Advertising Tax, profits of regional owned enterprises have a significant effect on local revenue. Meanwhile, local levies do not have a significant effect on Regional Original Revenue. Simultaneously, Street Lighting Tax, Advertisement Tax, Regional Retribution and Profits for Regional Owned Enterprises have a significant effect. The correlation value (R) is 0.968. The value of R Square is 93.8%, indicating that the Street Lighting Tax, Advertisement Tax, Regional Retribution and profit of regional owned enterprises on Regional Original Income is 93.8% and the remaining 6.2% is influenced by other variables outside of this study.</w:t>
      </w:r>
    </w:p>
    <w:p>
      <w:pPr>
        <w:tabs>
          <w:tab w:val="left" w:pos="10992"/>
          <w:tab w:val="left" w:pos="11908"/>
          <w:tab w:val="left" w:pos="12824"/>
          <w:tab w:val="left" w:pos="13740"/>
          <w:tab w:val="left" w:pos="14656"/>
        </w:tabs>
        <w:spacing w:after="0" w:line="240" w:lineRule="auto"/>
        <w:jc w:val="both"/>
        <w:rPr>
          <w:rFonts w:ascii="Times New Roman" w:hAnsi="Times New Roman" w:eastAsia="Times New Roman" w:cs="Times New Roman"/>
          <w:b/>
          <w:sz w:val="20"/>
          <w:szCs w:val="20"/>
          <w:lang w:eastAsia="id-ID"/>
        </w:rPr>
      </w:pPr>
    </w:p>
    <w:p>
      <w:pPr>
        <w:tabs>
          <w:tab w:val="left" w:pos="10992"/>
          <w:tab w:val="left" w:pos="11908"/>
          <w:tab w:val="left" w:pos="12824"/>
          <w:tab w:val="left" w:pos="13740"/>
          <w:tab w:val="left" w:pos="14656"/>
        </w:tabs>
        <w:spacing w:after="0" w:line="240" w:lineRule="auto"/>
        <w:jc w:val="both"/>
        <w:rPr>
          <w:rFonts w:ascii="Times New Roman" w:hAnsi="Times New Roman" w:cs="Times New Roman"/>
          <w:bCs/>
          <w:color w:val="000000"/>
          <w:sz w:val="20"/>
          <w:szCs w:val="20"/>
        </w:rPr>
      </w:pPr>
      <w:r>
        <w:rPr>
          <w:rFonts w:ascii="Times New Roman" w:hAnsi="Times New Roman" w:eastAsia="Times New Roman" w:cs="Times New Roman"/>
          <w:b/>
          <w:sz w:val="20"/>
          <w:szCs w:val="20"/>
          <w:lang w:eastAsia="id-ID"/>
        </w:rPr>
        <w:t>Keywords:</w:t>
      </w:r>
      <w:r>
        <w:rPr>
          <w:rFonts w:ascii="Times New Roman" w:hAnsi="Times New Roman" w:eastAsia="Times New Roman" w:cs="Times New Roman"/>
          <w:sz w:val="20"/>
          <w:szCs w:val="20"/>
          <w:lang w:eastAsia="id-ID"/>
        </w:rPr>
        <w:t xml:space="preserve">  </w:t>
      </w:r>
      <w:r>
        <w:rPr>
          <w:rFonts w:ascii="Times New Roman" w:hAnsi="Times New Roman" w:cs="Times New Roman"/>
          <w:color w:val="000000"/>
          <w:sz w:val="20"/>
          <w:szCs w:val="20"/>
        </w:rPr>
        <w:t>Tax, Retribution, Profits for Regionally Owned Enterprises, Local Revenue</w:t>
      </w:r>
    </w:p>
    <w:p>
      <w:pPr>
        <w:autoSpaceDE w:val="0"/>
        <w:autoSpaceDN w:val="0"/>
        <w:adjustRightInd w:val="0"/>
        <w:spacing w:after="0" w:line="240" w:lineRule="auto"/>
        <w:jc w:val="both"/>
        <w:rPr>
          <w:rFonts w:ascii="Times New Roman" w:hAnsi="Times New Roman" w:cs="Times New Roman"/>
          <w:b/>
          <w:bCs/>
          <w:color w:val="000000"/>
          <w:sz w:val="20"/>
          <w:szCs w:val="20"/>
        </w:rPr>
      </w:pPr>
    </w:p>
    <w:p>
      <w:pPr>
        <w:autoSpaceDE w:val="0"/>
        <w:autoSpaceDN w:val="0"/>
        <w:adjustRightInd w:val="0"/>
        <w:spacing w:after="0" w:line="240" w:lineRule="auto"/>
        <w:jc w:val="both"/>
        <w:rPr>
          <w:rFonts w:ascii="Times New Roman" w:hAnsi="Times New Roman" w:cs="Times New Roman"/>
          <w:b/>
          <w:bCs/>
          <w:color w:val="000000"/>
          <w:sz w:val="24"/>
          <w:szCs w:val="24"/>
        </w:rPr>
      </w:pPr>
    </w:p>
    <w:p>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PENDAHULUAN</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Sejak pemberlakuan Otonomi Daerah sampai sekarang hampir semua daerah di Aceh kesulitan dengan masalah keuangan dalam menjalankan kegiatan pemerintahannya. Pemberlakuan otonomi daerah diharapkan daerah dapat meningkatkan kemampuan keuangan dan mampu mengolah keuangan secara baik. Oleh karena itu kemampuan keuangan daerah sangat diandalkan dalam membiayai kegiatan pemerintahannya di daerah, karena mengingat pengeluaran pemerintah semakin lama semakin meningkat.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Kemampuan keuangan daerah dapat dilihat dari tingggi rendahnya PAD yang ada pada daerah tersebut. Pada dasarnya semakin tinggi sumbangan PAD terhadap APBD, maka tingkat ketergantungan keuangan dengan pemerintah pusat semakin rendah. Demikian juga sebaliknya, jika PAD rendah maka ketergantungan keuangan dengan pusat semakin tinggi. Penyelenggaraan fungsi pemerintahan yang lebih luas perlu didukung oleh sumber pembiayaan yang memadai.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Berkaitan dengan hal di atas, maka perlu disadari bahwa sumber-sumber penerimaan dari setiap daerah sangat beragam dengan sumber penerimaan daerah lainnya. Ada beberapa daerah dengan sumber daya yang dimiliki mampu menyelenggarakan otonomi daerah, namun masih banyak daerah yang mengalami kesulitan keuangan dalam melaksanakan tugas desentralisasi sebagai akibat terbatasnya sumber daya keuangan yang dimiliki daerah tersebut. Dalam hal ini sangat diharapkan kemampuan suatu daerah dalam menggali potensi keuangan di daerahnya. Hal ini dapat dilakukan dengan cara ekstensifikasi sumber-sumber PAD yang baru dan mengintensifkan penerimaan dari sumber-sumber PAD yang ada. Intensifikasi dilakukan oleh Pemerintah daerah dengan cara meningkatkan kesadaran masyarakat untuk mem</w:t>
      </w:r>
      <w:bookmarkStart w:id="0" w:name="_GoBack"/>
      <w:bookmarkEnd w:id="0"/>
      <w:r>
        <w:rPr>
          <w:rFonts w:ascii="Times New Roman" w:hAnsi="Times New Roman" w:cs="Times New Roman"/>
          <w:color w:val="000000"/>
          <w:sz w:val="24"/>
          <w:szCs w:val="24"/>
        </w:rPr>
        <w:t xml:space="preserve">bayar pajak dan  retribusinya sehingga penerimaannya dapat ditingkatkan. Kebijakan  intensifikasi juga dapat dilakukan dengan cara meningkatkan tariff pajak daerah yang dianggap tidak sesuai lagi tarifnya dengan kondisi sekarang. Kebijakan ini dilakukan terhadap pajak daerah dan retribusi daerah, sedangkan terhadap Badan Usaha Milik Daerah (BUMD) dapat dilakukan dengan cara menekan biaya (efisiensi) dengan tujuan dapat meningkatkan keuntungan. Keuntungan BUMD merupakan salah satu sumber PAD pada berbagai daerah.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Kabupaten Aceh Timur merupakan suatu daerah yang telah menjalankan otonomi daerah sejak tahun 2001, karena pada tahun tersebut terjadi pemekaran daerah yang sebelumnya Kota Langsa dan Aceh Tamiang merupakan bagian dari Kabupaten Aceh Timur. Sebagai daerah otonomi tidak terlepas dari kemampuan keuangam terutama PAD yang bersumber  dari potensi ekonomi yang terdiri dari pajak daerah, retribusi daerah, pengelolaan kekayaan daerah yang dipisahkan, termasuk di dalamnya BUMD dan penerimaan daerah lainnya yang sah menurut qanun Kabupaten Aceh Timur.Aspek keungan merupakan salah satu ilustrasi untuk mengetahui secara nyata kemampuan daerah dalam mengurus rumah tangganya sendiri. Dalam hal ini Pendapatan Asli Daerah (PAD) merupakan penerimaan yang diandalkan dalam keuangan daerah. Untuk mengetahui perkembangan PAD di Kabupaten Aceh Timur dapat dilihat pada table 1 di bawah ini:</w:t>
      </w:r>
    </w:p>
    <w:p>
      <w:pPr>
        <w:autoSpaceDE w:val="0"/>
        <w:autoSpaceDN w:val="0"/>
        <w:adjustRightInd w:val="0"/>
        <w:spacing w:after="0" w:line="240" w:lineRule="auto"/>
        <w:jc w:val="both"/>
        <w:rPr>
          <w:rFonts w:ascii="Times New Roman" w:hAnsi="Times New Roman" w:cs="Times New Roman"/>
          <w:color w:val="000000"/>
          <w:sz w:val="16"/>
          <w:szCs w:val="16"/>
        </w:rPr>
      </w:pPr>
    </w:p>
    <w:p>
      <w:p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Tabel 1. Perkembangan PAD Kabupaten Aceh Timur</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63"/>
        <w:gridCol w:w="4536"/>
        <w:gridCol w:w="24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63"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Tahun</w:t>
            </w:r>
          </w:p>
        </w:tc>
        <w:tc>
          <w:tcPr>
            <w:tcW w:w="4536"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Pendapatan Asli Daerah  (Rupiah)</w:t>
            </w:r>
          </w:p>
        </w:tc>
        <w:tc>
          <w:tcPr>
            <w:tcW w:w="2406"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Perkembangan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63" w:type="dxa"/>
            <w:tcBorders>
              <w:top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2015</w:t>
            </w:r>
          </w:p>
        </w:tc>
        <w:tc>
          <w:tcPr>
            <w:tcW w:w="4536" w:type="dxa"/>
            <w:tcBorders>
              <w:top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94,072,964,671</w:t>
            </w:r>
          </w:p>
        </w:tc>
        <w:tc>
          <w:tcPr>
            <w:tcW w:w="2406" w:type="dxa"/>
            <w:tcBorders>
              <w:top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63"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2016</w:t>
            </w:r>
          </w:p>
        </w:tc>
        <w:tc>
          <w:tcPr>
            <w:tcW w:w="4536"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107,020,180,360</w:t>
            </w:r>
          </w:p>
        </w:tc>
        <w:tc>
          <w:tcPr>
            <w:tcW w:w="2406"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13.76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963"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2017</w:t>
            </w:r>
          </w:p>
        </w:tc>
        <w:tc>
          <w:tcPr>
            <w:tcW w:w="4536"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164,288,180,444</w:t>
            </w:r>
          </w:p>
        </w:tc>
        <w:tc>
          <w:tcPr>
            <w:tcW w:w="2406" w:type="dxa"/>
          </w:tcPr>
          <w:p>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53.51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63"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2018</w:t>
            </w:r>
          </w:p>
        </w:tc>
        <w:tc>
          <w:tcPr>
            <w:tcW w:w="4536"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176,549,143,142</w:t>
            </w:r>
          </w:p>
        </w:tc>
        <w:tc>
          <w:tcPr>
            <w:tcW w:w="2406"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7.46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63" w:type="dxa"/>
            <w:tcBorders>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2019</w:t>
            </w:r>
          </w:p>
        </w:tc>
        <w:tc>
          <w:tcPr>
            <w:tcW w:w="4536" w:type="dxa"/>
            <w:tcBorders>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202,093,734,433</w:t>
            </w:r>
          </w:p>
        </w:tc>
        <w:tc>
          <w:tcPr>
            <w:tcW w:w="2406" w:type="dxa"/>
            <w:tcBorders>
              <w:bottom w:val="single" w:color="auto" w:sz="4" w:space="0"/>
            </w:tcBorders>
          </w:tcPr>
          <w:p>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14.47</w:t>
            </w:r>
          </w:p>
        </w:tc>
      </w:tr>
    </w:tbl>
    <w:p>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Sumber: Badan Pengelolaan Keuangan dan Aset Daerah (Data Diolah), 2020</w:t>
      </w:r>
      <w:r>
        <w:rPr>
          <w:rFonts w:ascii="Times New Roman" w:hAnsi="Times New Roman" w:cs="Times New Roman"/>
          <w:color w:val="000000"/>
          <w:sz w:val="24"/>
          <w:szCs w:val="24"/>
          <w:bdr w:val="single" w:color="auto" w:sz="4" w:space="0"/>
        </w:rPr>
        <w:t xml:space="preserve"> </w:t>
      </w:r>
    </w:p>
    <w:p>
      <w:pPr>
        <w:widowControl w:val="0"/>
        <w:autoSpaceDE w:val="0"/>
        <w:autoSpaceDN w:val="0"/>
        <w:adjustRightInd w:val="0"/>
        <w:spacing w:after="0" w:line="240" w:lineRule="auto"/>
        <w:rPr>
          <w:rFonts w:ascii="Times New Roman" w:hAnsi="Times New Roman" w:cs="Times New Roman"/>
          <w:sz w:val="16"/>
          <w:szCs w:val="16"/>
        </w:rPr>
      </w:pP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Dalam table I-1 dapat dilihat bahwa PAD Kabupaten Aceh TimurPada Tahun 2015 sebesar Rp 94,072,964,671 dan pada tahun berikutnya naik menjadi Rp 107,020,180,360 atau mengalami kenaikan 13,76 % apabila dibanding dengan PAD tahun sebelumnya. Pada tahun 2017sebesar Rp 164,288,180,444 atau meningkat sebesar 53,51%. Kemudian pada tahun 2018 PAD menjadi Rp 176,549,143,142 atau naik 7,46% Kenaikan PAD yang ini disebabkan realisasi mencapaitarget, sehingga PAD yang direalisasikan telah menggambarkan potensi ekonomi daerah.Kemudian pada tahun 2019 penerimaan PAD meningkat lagi sebesar Rp 202,093,734,433dan diperkirakan akan terus mengalami peningkatan pada tahun selanjutnyasebagai akibat adanya desentralisasi fiskal. Apabila dirinci lebih lanjut, bahwa pajak penerangan jalan dan pajak reklame termasuk dalam pajak daerah dan pajak daerah termasuk ke dalam PAD, sekaligus merupakan andalan dalam PAD bersama dengan retribusi daerah, sedangkan keuntungan BUMD berasal dari laba Bank Aceh dan Rumah Sakit Umum Daerah (RSUD) sedangkan PDAM belum memiliki keuntungan yang nyata terhadap PAD. Dapat dilihat perkembangan Pajak Penerangan Jalan pada tabel 2 berikut.</w:t>
      </w:r>
    </w:p>
    <w:p>
      <w:pPr>
        <w:autoSpaceDE w:val="0"/>
        <w:autoSpaceDN w:val="0"/>
        <w:adjustRightInd w:val="0"/>
        <w:spacing w:after="0" w:line="240" w:lineRule="auto"/>
        <w:jc w:val="center"/>
        <w:rPr>
          <w:rFonts w:ascii="Times New Roman" w:hAnsi="Times New Roman" w:cs="Times New Roman"/>
          <w:color w:val="000000"/>
          <w:sz w:val="16"/>
          <w:szCs w:val="16"/>
        </w:rPr>
      </w:pPr>
    </w:p>
    <w:p>
      <w:p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Tabel 2. Pajak Penerangan Jalan Kabupaten Aceh Timur</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56"/>
        <w:gridCol w:w="4499"/>
        <w:gridCol w:w="27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6"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Tahun</w:t>
            </w:r>
          </w:p>
        </w:tc>
        <w:tc>
          <w:tcPr>
            <w:tcW w:w="4499"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Pajak Penerangan Jalan  (Rupiah)</w:t>
            </w:r>
          </w:p>
        </w:tc>
        <w:tc>
          <w:tcPr>
            <w:tcW w:w="2730"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Perkembangan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6" w:type="dxa"/>
            <w:tcBorders>
              <w:top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2015</w:t>
            </w:r>
          </w:p>
        </w:tc>
        <w:tc>
          <w:tcPr>
            <w:tcW w:w="4499" w:type="dxa"/>
            <w:tcBorders>
              <w:top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4,351,000,000</w:t>
            </w:r>
          </w:p>
        </w:tc>
        <w:tc>
          <w:tcPr>
            <w:tcW w:w="2730" w:type="dxa"/>
            <w:tcBorders>
              <w:top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6"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2016</w:t>
            </w:r>
          </w:p>
        </w:tc>
        <w:tc>
          <w:tcPr>
            <w:tcW w:w="4499"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4,568,500,000</w:t>
            </w:r>
          </w:p>
        </w:tc>
        <w:tc>
          <w:tcPr>
            <w:tcW w:w="2730"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456"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2017</w:t>
            </w:r>
          </w:p>
        </w:tc>
        <w:tc>
          <w:tcPr>
            <w:tcW w:w="4499"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5,501,000,000</w:t>
            </w:r>
          </w:p>
        </w:tc>
        <w:tc>
          <w:tcPr>
            <w:tcW w:w="2730" w:type="dxa"/>
          </w:tcPr>
          <w:p>
            <w:pPr>
              <w:widowControl w:val="0"/>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20,41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6"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2018</w:t>
            </w:r>
          </w:p>
        </w:tc>
        <w:tc>
          <w:tcPr>
            <w:tcW w:w="4499" w:type="dxa"/>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8,001,000,000</w:t>
            </w:r>
          </w:p>
        </w:tc>
        <w:tc>
          <w:tcPr>
            <w:tcW w:w="2730"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45,45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6" w:type="dxa"/>
            <w:tcBorders>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2019</w:t>
            </w:r>
          </w:p>
        </w:tc>
        <w:tc>
          <w:tcPr>
            <w:tcW w:w="4499" w:type="dxa"/>
            <w:tcBorders>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8,750,000,000</w:t>
            </w:r>
          </w:p>
        </w:tc>
        <w:tc>
          <w:tcPr>
            <w:tcW w:w="2730" w:type="dxa"/>
            <w:tcBorders>
              <w:bottom w:val="single" w:color="auto" w:sz="4" w:space="0"/>
            </w:tcBorders>
          </w:tcPr>
          <w:p>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9,36</w:t>
            </w:r>
          </w:p>
        </w:tc>
      </w:tr>
    </w:tbl>
    <w:p>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Sumber: Badan Pengelolaan Keuangan dan Aset Daerah (Data Diolah), 2020 </w:t>
      </w:r>
    </w:p>
    <w:p>
      <w:pPr>
        <w:autoSpaceDE w:val="0"/>
        <w:autoSpaceDN w:val="0"/>
        <w:adjustRightInd w:val="0"/>
        <w:spacing w:after="0" w:line="240" w:lineRule="auto"/>
        <w:ind w:firstLine="567"/>
        <w:jc w:val="both"/>
        <w:rPr>
          <w:rFonts w:ascii="Times New Roman" w:hAnsi="Times New Roman" w:cs="Times New Roman"/>
          <w:color w:val="000000"/>
          <w:sz w:val="24"/>
          <w:szCs w:val="24"/>
        </w:rPr>
      </w:pP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Berdasarkan tabel 2 diatas dapat dilihat bahwa dari tahun 2015 sampai tahun 2019 terus mengalami peningkatan di karenakan realisasi Pajak Penerangan Pajak melebihi target. Pada tahun 2015 Pajak Penerangan Jalan di Kabupaten Aceh Timur sebesar Rp ,351,000,000.Pada tahun 2016 mengalami peningkatan 5.00% atau sebesar Rp 4,568,500,000. Pada tahun 2017 meningkat sebesar Rp 5,501,000,000 atau naik 20,41%.  Pada tahun 2018 mengalami peningkatan yang drastis sebesar Rp 8,001,000,000 atau 45,45%. Hingga pada Akhir 2019 juga mengalami peningkatan sebesar Rp 8,750,000,000 atau naik 9,36%.  Tidak hanya Pajak Penerangan jalan yang menjadi sumber Pendapatan Asli Daerah, akan tetapi Pajak Reklame juga sumber PAD. Dapat kita lihat pada tabel 3 Perkembangan Pajak Reklame Kabupaten Aceh Timur Selama Tahun 2015-2019.</w:t>
      </w:r>
    </w:p>
    <w:p>
      <w:pPr>
        <w:autoSpaceDE w:val="0"/>
        <w:autoSpaceDN w:val="0"/>
        <w:adjustRightInd w:val="0"/>
        <w:spacing w:after="0" w:line="240" w:lineRule="auto"/>
        <w:jc w:val="center"/>
        <w:rPr>
          <w:rFonts w:ascii="Times New Roman" w:hAnsi="Times New Roman" w:cs="Times New Roman"/>
          <w:color w:val="000000"/>
          <w:sz w:val="24"/>
          <w:szCs w:val="24"/>
        </w:rPr>
      </w:pPr>
    </w:p>
    <w:p>
      <w:p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Tabel 3. Pajak Reklame Kabupaten Aceh Timur</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79"/>
        <w:gridCol w:w="4357"/>
        <w:gridCol w:w="2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79"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Tahun</w:t>
            </w:r>
          </w:p>
        </w:tc>
        <w:tc>
          <w:tcPr>
            <w:tcW w:w="4357"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Pajak Reklame  (Rupiah)</w:t>
            </w:r>
          </w:p>
        </w:tc>
        <w:tc>
          <w:tcPr>
            <w:tcW w:w="2296"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Perkembangan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79" w:type="dxa"/>
            <w:tcBorders>
              <w:top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2015</w:t>
            </w:r>
          </w:p>
        </w:tc>
        <w:tc>
          <w:tcPr>
            <w:tcW w:w="4357" w:type="dxa"/>
            <w:tcBorders>
              <w:top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145,000,000.00</w:t>
            </w:r>
          </w:p>
        </w:tc>
        <w:tc>
          <w:tcPr>
            <w:tcW w:w="2296" w:type="dxa"/>
            <w:tcBorders>
              <w:top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79"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2016</w:t>
            </w:r>
          </w:p>
        </w:tc>
        <w:tc>
          <w:tcPr>
            <w:tcW w:w="4357"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220,000,000.00</w:t>
            </w:r>
          </w:p>
        </w:tc>
        <w:tc>
          <w:tcPr>
            <w:tcW w:w="2296"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27,17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2179"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2017</w:t>
            </w:r>
          </w:p>
        </w:tc>
        <w:tc>
          <w:tcPr>
            <w:tcW w:w="4357"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236,000,000.00</w:t>
            </w:r>
          </w:p>
        </w:tc>
        <w:tc>
          <w:tcPr>
            <w:tcW w:w="2296" w:type="dxa"/>
          </w:tcPr>
          <w:p>
            <w:pPr>
              <w:widowControl w:val="0"/>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7,27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79"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2018</w:t>
            </w:r>
          </w:p>
        </w:tc>
        <w:tc>
          <w:tcPr>
            <w:tcW w:w="4357"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246,000,000.00</w:t>
            </w:r>
          </w:p>
        </w:tc>
        <w:tc>
          <w:tcPr>
            <w:tcW w:w="2296"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79" w:type="dxa"/>
            <w:tcBorders>
              <w:bottom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2019</w:t>
            </w:r>
          </w:p>
        </w:tc>
        <w:tc>
          <w:tcPr>
            <w:tcW w:w="4357" w:type="dxa"/>
            <w:tcBorders>
              <w:bottom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276,000,000.00</w:t>
            </w:r>
          </w:p>
        </w:tc>
        <w:tc>
          <w:tcPr>
            <w:tcW w:w="2296" w:type="dxa"/>
            <w:tcBorders>
              <w:bottom w:val="single" w:color="auto" w:sz="4" w:space="0"/>
            </w:tcBorders>
          </w:tcPr>
          <w:p>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12,20</w:t>
            </w:r>
          </w:p>
        </w:tc>
      </w:tr>
    </w:tbl>
    <w:p>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Sumber: Badan Pengelolaan Keuangan dan Aset Daerah (Data Diolah), 2020 </w:t>
      </w:r>
    </w:p>
    <w:p>
      <w:pPr>
        <w:autoSpaceDE w:val="0"/>
        <w:autoSpaceDN w:val="0"/>
        <w:adjustRightInd w:val="0"/>
        <w:spacing w:before="240"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Berdasarkan tabel 3 dapat kita lihat bahwa dari tahun 2015 sampai tahun 2019 terus mengalami peningkatan di krekan realisasi pajak reklame melebihi target. Pada tahun 2015 pajak reklame di kabupaten aceh timur sebesar 145.000,000.00 pada tahun 2016 mengalami 27.17 atau sebesar Rp 220,000,000.00. Pada tahun 2017 meningkat sebesar Rp 236,000,000.00. atau naik menjadi 7.27%. Pada tahun 2018 mengalami peningkatan yang drastic sebesar Rp246,000,000.00 atau 4.24% sehingga pada tahun 2019 mengalami peningkatan sebesar Rp 276,000,000.00 atau naik 12.2%.  Selain pajak daerah, retribusi daerah juga memiliki peranan penting dalam sumber Pendapatan asli daerah. Retribusi daerah terdiri  dari: Retribusi Jasa Umum, Retribusi Jasa Usaha dan Retribusi Perizinan Tertentu.  </w:t>
      </w:r>
    </w:p>
    <w:p>
      <w:pPr>
        <w:autoSpaceDE w:val="0"/>
        <w:autoSpaceDN w:val="0"/>
        <w:adjustRightInd w:val="0"/>
        <w:spacing w:after="0" w:line="240" w:lineRule="auto"/>
        <w:jc w:val="center"/>
        <w:rPr>
          <w:rFonts w:ascii="Times New Roman" w:hAnsi="Times New Roman" w:cs="Times New Roman"/>
          <w:color w:val="000000"/>
          <w:sz w:val="24"/>
          <w:szCs w:val="24"/>
        </w:rPr>
      </w:pPr>
    </w:p>
    <w:p>
      <w:p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Tabel 4. Retribusi Daerah Kabupaten Aceh Timur</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79"/>
        <w:gridCol w:w="4357"/>
        <w:gridCol w:w="2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79"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Tahun</w:t>
            </w:r>
          </w:p>
        </w:tc>
        <w:tc>
          <w:tcPr>
            <w:tcW w:w="4357"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Retribusi Daerah  (Rupiah)</w:t>
            </w:r>
          </w:p>
        </w:tc>
        <w:tc>
          <w:tcPr>
            <w:tcW w:w="2296"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Perkembangan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79" w:type="dxa"/>
            <w:tcBorders>
              <w:top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2015</w:t>
            </w:r>
          </w:p>
        </w:tc>
        <w:tc>
          <w:tcPr>
            <w:tcW w:w="4357" w:type="dxa"/>
            <w:tcBorders>
              <w:top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38,449,213,387.00</w:t>
            </w:r>
          </w:p>
        </w:tc>
        <w:tc>
          <w:tcPr>
            <w:tcW w:w="2296" w:type="dxa"/>
            <w:tcBorders>
              <w:top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79"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2016</w:t>
            </w:r>
          </w:p>
        </w:tc>
        <w:tc>
          <w:tcPr>
            <w:tcW w:w="4357"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17,392,826,400.00</w:t>
            </w:r>
          </w:p>
        </w:tc>
        <w:tc>
          <w:tcPr>
            <w:tcW w:w="2296"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54,76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2179"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2017</w:t>
            </w:r>
          </w:p>
        </w:tc>
        <w:tc>
          <w:tcPr>
            <w:tcW w:w="4357"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19,847,489,000.00</w:t>
            </w:r>
          </w:p>
        </w:tc>
        <w:tc>
          <w:tcPr>
            <w:tcW w:w="2296" w:type="dxa"/>
          </w:tcPr>
          <w:p>
            <w:pPr>
              <w:widowControl w:val="0"/>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14,11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79"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2018</w:t>
            </w:r>
          </w:p>
        </w:tc>
        <w:tc>
          <w:tcPr>
            <w:tcW w:w="4357"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21,609,671,257.00</w:t>
            </w:r>
          </w:p>
        </w:tc>
        <w:tc>
          <w:tcPr>
            <w:tcW w:w="2296"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79" w:type="dxa"/>
            <w:tcBorders>
              <w:bottom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2019</w:t>
            </w:r>
          </w:p>
        </w:tc>
        <w:tc>
          <w:tcPr>
            <w:tcW w:w="4357" w:type="dxa"/>
            <w:tcBorders>
              <w:bottom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32,683,000,000.00</w:t>
            </w:r>
          </w:p>
        </w:tc>
        <w:tc>
          <w:tcPr>
            <w:tcW w:w="2296" w:type="dxa"/>
            <w:tcBorders>
              <w:bottom w:val="single" w:color="auto" w:sz="4" w:space="0"/>
            </w:tcBorders>
          </w:tcPr>
          <w:p>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51,24</w:t>
            </w:r>
          </w:p>
        </w:tc>
      </w:tr>
    </w:tbl>
    <w:p>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Sumber: Badan Pengelolaan Keuangan dan Aset Daerah (Data Diolah), 2020 </w:t>
      </w:r>
    </w:p>
    <w:p>
      <w:pPr>
        <w:autoSpaceDE w:val="0"/>
        <w:autoSpaceDN w:val="0"/>
        <w:adjustRightInd w:val="0"/>
        <w:spacing w:after="0" w:line="240" w:lineRule="auto"/>
        <w:ind w:firstLine="567"/>
        <w:jc w:val="both"/>
        <w:rPr>
          <w:rFonts w:ascii="Times New Roman" w:hAnsi="Times New Roman" w:cs="Times New Roman"/>
          <w:color w:val="000000"/>
          <w:sz w:val="24"/>
          <w:szCs w:val="24"/>
        </w:rPr>
      </w:pP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Berdasarkan tabel 4 diatas dapat dilihat bahwa retribusi daerah  kabupaten aceh timur  pada  tahun 2015 Rp38,449,213,387.00 dan pada tahun berikutnya menurun menjadi Rp17,392,826,400.00 atau mengalami penurunan 54.76%. hal ini disebabkan karena raelisasi sumber-sumber retribusi daerah tidak mencapai target, sehingga realisasi retribusi daerah relatif rendah. Kemudian pada tahun 2017 retribusi daerah menjadi Rp19,847,489,000.00 atau naik 14.11% apabila dibandingkan dengan tahun 2016. Kenaikan retribusi daerah yang sangat drastis ini disebabkan realisasi mencapai target, sehinnga retribusi daerah yang direalisasikan telah menggambarkan potensi ekonomi daerah.Kemudian pada tahun 2018 retribusi daerah di kabupaten aceh timur sebesar Rp 21,609,671,257.00 atau naik 8.88.hingga pada tahun 2019 juga mengalami peningkatan  sebesar Rp32,683,000,000.00 atau naik 51.24%.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Badan Usaha milik Daerah merupakan perusahaan yang didirikan dan dimiliki oleh pemerintahan daerah.BUMD memberingan sumbangsih pada perekonomian nasional dan penerimaan kas Negara.dan ini merupakan sumber Pendapatan Asli Daerah untuk Kabupaten Aceh Timur.Dapat kita lihat BUMD Kabupaten Aceh Timur dalam tabel 5 berikut.</w:t>
      </w:r>
    </w:p>
    <w:p>
      <w:pPr>
        <w:autoSpaceDE w:val="0"/>
        <w:autoSpaceDN w:val="0"/>
        <w:adjustRightInd w:val="0"/>
        <w:spacing w:after="0" w:line="240" w:lineRule="auto"/>
        <w:ind w:firstLine="567"/>
        <w:jc w:val="both"/>
        <w:rPr>
          <w:rFonts w:ascii="Times New Roman" w:hAnsi="Times New Roman" w:cs="Times New Roman"/>
          <w:color w:val="000000"/>
          <w:sz w:val="24"/>
          <w:szCs w:val="24"/>
        </w:rPr>
      </w:pPr>
    </w:p>
    <w:p>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Tabel 5. BUMD Kabupaten Aceh Timur</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0"/>
        <w:gridCol w:w="4215"/>
        <w:gridCol w:w="27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0"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Tahun</w:t>
            </w:r>
          </w:p>
        </w:tc>
        <w:tc>
          <w:tcPr>
            <w:tcW w:w="4215"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BUMD  (Rupiah)</w:t>
            </w:r>
          </w:p>
        </w:tc>
        <w:tc>
          <w:tcPr>
            <w:tcW w:w="2730" w:type="dxa"/>
            <w:tcBorders>
              <w:top w:val="single" w:color="auto" w:sz="4" w:space="0"/>
              <w:bottom w:val="single" w:color="auto" w:sz="4" w:space="0"/>
            </w:tcBorders>
          </w:tcPr>
          <w:p>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Perkembangan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0" w:type="dxa"/>
            <w:tcBorders>
              <w:top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2015</w:t>
            </w:r>
          </w:p>
        </w:tc>
        <w:tc>
          <w:tcPr>
            <w:tcW w:w="4215" w:type="dxa"/>
            <w:tcBorders>
              <w:top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 xml:space="preserve">2,262,355,357.00  </w:t>
            </w:r>
          </w:p>
        </w:tc>
        <w:tc>
          <w:tcPr>
            <w:tcW w:w="2730" w:type="dxa"/>
            <w:tcBorders>
              <w:top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0"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2016</w:t>
            </w:r>
          </w:p>
        </w:tc>
        <w:tc>
          <w:tcPr>
            <w:tcW w:w="4215"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2,200,000,000.00</w:t>
            </w:r>
          </w:p>
        </w:tc>
        <w:tc>
          <w:tcPr>
            <w:tcW w:w="2730"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740"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2017</w:t>
            </w:r>
          </w:p>
        </w:tc>
        <w:tc>
          <w:tcPr>
            <w:tcW w:w="4215"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2,200,000,000.00</w:t>
            </w:r>
          </w:p>
        </w:tc>
        <w:tc>
          <w:tcPr>
            <w:tcW w:w="2730" w:type="dxa"/>
          </w:tcPr>
          <w:p>
            <w:pPr>
              <w:widowControl w:val="0"/>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0"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2018</w:t>
            </w:r>
          </w:p>
        </w:tc>
        <w:tc>
          <w:tcPr>
            <w:tcW w:w="4215"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2,200,000,000.00</w:t>
            </w:r>
          </w:p>
        </w:tc>
        <w:tc>
          <w:tcPr>
            <w:tcW w:w="2730" w:type="dxa"/>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0" w:type="dxa"/>
            <w:tcBorders>
              <w:bottom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2019</w:t>
            </w:r>
          </w:p>
        </w:tc>
        <w:tc>
          <w:tcPr>
            <w:tcW w:w="4215" w:type="dxa"/>
            <w:tcBorders>
              <w:bottom w:val="single" w:color="auto" w:sz="4" w:space="0"/>
            </w:tcBorders>
          </w:tcPr>
          <w:p>
            <w:pPr>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2,200,000,000.00</w:t>
            </w:r>
          </w:p>
        </w:tc>
        <w:tc>
          <w:tcPr>
            <w:tcW w:w="2730" w:type="dxa"/>
            <w:tcBorders>
              <w:bottom w:val="single" w:color="auto" w:sz="4" w:space="0"/>
            </w:tcBorders>
          </w:tcPr>
          <w:p>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bl>
    <w:p>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Sumber: Badan Pengelolaan Keuangan dan Aset Daerah (Data Diolah), 2020 </w:t>
      </w:r>
    </w:p>
    <w:p>
      <w:pPr>
        <w:autoSpaceDE w:val="0"/>
        <w:autoSpaceDN w:val="0"/>
        <w:adjustRightInd w:val="0"/>
        <w:spacing w:after="0" w:line="240" w:lineRule="auto"/>
        <w:ind w:firstLine="567"/>
        <w:jc w:val="both"/>
        <w:rPr>
          <w:rFonts w:ascii="Times New Roman" w:hAnsi="Times New Roman" w:cs="Times New Roman"/>
          <w:color w:val="000000"/>
          <w:sz w:val="24"/>
          <w:szCs w:val="24"/>
        </w:rPr>
      </w:pPr>
    </w:p>
    <w:p>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Berdasarkan pada tabel 5 dapat dilihat bahwa perkembangan BUMD pada tahun  2015sebesar Rp2.262.355.357. Namun pada tahun 2016 mengalami penuruna sebesar Rp2,200,000,000.00. atau turun 2.76%. hingga pada tahun 2019 BUMD tetap tidak ada penambahan atau pengurangan pada anggaran yaitu sebesar Rp 2,200,000,000.00  Dari gambaran angka-angka tersebut memperlihatkan kepada kita bahwa pajak penerangan jalan dan pajak reklame merupakan bagian dari pajak daerah, dan retribusi daerah serta laba BUMD dapat mempengaruhi keuangan daerah yang dicerminkan oleh PAD. </w:t>
      </w:r>
    </w:p>
    <w:p>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 </w:t>
      </w:r>
    </w:p>
    <w:p>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LANDASAN TEORI</w:t>
      </w:r>
    </w:p>
    <w:p>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Pajak Penerangan Jalan</w:t>
      </w:r>
    </w:p>
    <w:p>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Menurut Undang-Undang Republik Indonesia Nomor 28 Tahun 2009 tentangPajak Daerah dan Retribusi Daerah, pajak penerangan jalan merupakan salah satujenis pajak yang digolongkan ke dalam komponen pajak Kabupaten/Kota. Pengertianpajak penerangan jalan menurut Peraturan Daerah Kota Nomor 16 Tahun2008 pasal 1 ayat 10: “Pajak penerangan jalan yang selanjutnya disebut pajak ataspenggunaan tenaga listrik dengan ketentuan bahwa di daerah tersebut tersediapenerangan jalan yang rekeningnya dibayar oeh Pemerintah Daerah.” Dasar hukum pemungutan pajak penerangan jalan adalah sebagai berikut: </w:t>
      </w:r>
    </w:p>
    <w:p>
      <w:p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color w:val="000000"/>
          <w:sz w:val="24"/>
          <w:szCs w:val="24"/>
        </w:rPr>
        <w:t xml:space="preserve">1.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Undang-Undang Republik Indonesia Nomor 28 Tahun 2009 tentang PajakDaerah dan Retribusi Daerah. </w:t>
      </w:r>
    </w:p>
    <w:p>
      <w:pPr>
        <w:autoSpaceDE w:val="0"/>
        <w:autoSpaceDN w:val="0"/>
        <w:adjustRightInd w:val="0"/>
        <w:spacing w:after="0" w:line="240" w:lineRule="auto"/>
        <w:ind w:left="567" w:hanging="567"/>
        <w:rPr>
          <w:rFonts w:ascii="Times New Roman" w:hAnsi="Times New Roman" w:cs="Times New Roman"/>
          <w:sz w:val="24"/>
          <w:szCs w:val="24"/>
        </w:rPr>
      </w:pPr>
      <w:r>
        <w:rPr>
          <w:rFonts w:ascii="Times New Roman" w:hAnsi="Times New Roman" w:cs="Times New Roman"/>
          <w:color w:val="000000"/>
          <w:sz w:val="24"/>
          <w:szCs w:val="24"/>
        </w:rPr>
        <w:t xml:space="preserve">2.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Peraturan Pemerintah Nomor 65 Tahun 2001 tentang Pajak Daerah. </w:t>
      </w:r>
    </w:p>
    <w:p>
      <w:pPr>
        <w:autoSpaceDE w:val="0"/>
        <w:autoSpaceDN w:val="0"/>
        <w:adjustRightInd w:val="0"/>
        <w:spacing w:after="0" w:line="240" w:lineRule="auto"/>
        <w:ind w:left="567" w:hanging="567"/>
        <w:rPr>
          <w:rFonts w:ascii="Times New Roman" w:hAnsi="Times New Roman" w:cs="Times New Roman"/>
          <w:sz w:val="24"/>
          <w:szCs w:val="24"/>
        </w:rPr>
      </w:pPr>
      <w:r>
        <w:rPr>
          <w:rFonts w:ascii="Times New Roman" w:hAnsi="Times New Roman" w:cs="Times New Roman"/>
          <w:color w:val="000000"/>
          <w:sz w:val="24"/>
          <w:szCs w:val="24"/>
        </w:rPr>
        <w:t xml:space="preserve">3.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Peraturan Daerah (Qanun) Nomor 16 Tahun 2008 tentang Pajak Penerangan Jalan.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Objek pajak penerangan jalan menurut Peraturan Daerah Nomor 16 Tahun2008 Pasal 2 adalah setiap penggunaan tenaga listrik di Daerah yang tersediapenerangan jalan yang rekeningnya dibayar oleh Pemerintah Daerah. Penggunaantenaga listrik sebagaimana dimaksud tersebut adalah penggunaan tenaga listrik yangberasal dari PLN dan bukan PLN.Menurut Peraturan Daerah Nomor 16 Tahun 2008 Pasal 4 ayat1 dan 2, yang menjadi subjek pajak penerangan jalan adalah orang pribadi atau badanyang menggunakan tenaga listrik baik yang berasal dari PLN maupun yang berasal dari bukan PLN, sementara Wajib Pajak penerangan jalan adalah orang pribadi atau badan yang menjadi pelanggan listrik danatau pengguna tenaga listrik. Pelangganlistrik yaitu pemakai tenaga listrik yang berasal dariPLN dan pengguna tenaga listrikbiasanya merupakan pengguna tenaga listrik yang berasal bukan dari PLN. Dalam hal tenaga listrik disediakan oleh sumber lain, Wajib Pajak penerangan jalan adalah penyedia tenaga listrik.</w:t>
      </w:r>
    </w:p>
    <w:p>
      <w:pPr>
        <w:autoSpaceDE w:val="0"/>
        <w:autoSpaceDN w:val="0"/>
        <w:adjustRightInd w:val="0"/>
        <w:spacing w:after="0" w:line="240" w:lineRule="auto"/>
        <w:ind w:firstLine="567"/>
        <w:jc w:val="both"/>
        <w:rPr>
          <w:rFonts w:ascii="Times New Roman" w:hAnsi="Times New Roman" w:cs="Times New Roman"/>
          <w:color w:val="000000"/>
          <w:sz w:val="24"/>
          <w:szCs w:val="24"/>
        </w:rPr>
      </w:pPr>
    </w:p>
    <w:p>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Pajak Reklame</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Objek pajak reklame adalah penyelenggaraan benda, alat, pembuatan atau media yang menurut bentuk dan corak ragamnya untuk tujuan komersial. Dalam hal ini dipergunakan untuk memperkenalkan, menganjurkan dan untuk memuji suatu barang atau jasa yang ditempatkan atau yang dapat dilihat, dibaca atau didengar dari suatu tempat oleh umum kecuali yang dilakukan oleh pemerintah (Juraida, 2011:36)</w:t>
      </w:r>
    </w:p>
    <w:p>
      <w:pPr>
        <w:autoSpaceDE w:val="0"/>
        <w:autoSpaceDN w:val="0"/>
        <w:adjustRightInd w:val="0"/>
        <w:spacing w:after="0" w:line="240" w:lineRule="auto"/>
        <w:ind w:firstLine="567"/>
        <w:jc w:val="both"/>
        <w:rPr>
          <w:rFonts w:ascii="Times New Roman" w:hAnsi="Times New Roman" w:cs="Times New Roman"/>
          <w:color w:val="000000"/>
          <w:sz w:val="24"/>
          <w:szCs w:val="24"/>
        </w:rPr>
      </w:pPr>
    </w:p>
    <w:p>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Retribusi Daerah</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Yang dimaksud dengan retribusi daerah menurut Saragih (2007:65) adalah pungutan daerah sebagai pembayaran atas jasa atau iuran tertentu yang khusus disediakan dan atau diberikan oleh pemerintah daerah untuk kepentingan orang pribadi atau badan. Menurut Hakim (2007:67) retribusi daerah merupakan salah satu Pendapatan Asli Daerah yang digali dari potensi ekonomi daerah disamping sumber-sumber pendapatan asli daerah lainnya seperti pajak daerah, laba BUMD dan penerimaan daerah lainnya yang sah menurut peraturan daerah yang berlaku. </w:t>
      </w:r>
    </w:p>
    <w:p>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Retribusi untuk kabupaten atau kota terdiri dari dua jenis, yaitu: </w:t>
      </w:r>
    </w:p>
    <w:p>
      <w:p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color w:val="000000"/>
          <w:sz w:val="24"/>
          <w:szCs w:val="24"/>
        </w:rPr>
        <w:t xml:space="preserve">a.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Retribusi untuk Kabupaten atau Kota ditetapkan sesuai dengan kewenangan masing-masing daerah, terdiri dari 10 jenis retribusi jasa umum dan 4 jenis retribusi tertentu. </w:t>
      </w:r>
    </w:p>
    <w:p>
      <w:p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color w:val="000000"/>
          <w:sz w:val="24"/>
          <w:szCs w:val="24"/>
        </w:rPr>
        <w:t xml:space="preserve">b.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Retribusi untuk kabupaten atau kota ditetapkan sesuai dengan jasa atau pelayanan yang diberikan oleh masing-masing daerah terdiri dari 13 jenis retribusi jasa usaha.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Qanun (Peraturan Daerah) Kabupaten Aceh Timur  Nomor 7 Tahun 2008, menyatakanbahwa retribusi parkir di tepi jalan umum merupakan jenis retribusi daerah dalamhal ini peningkatan penerimaan pendapatan asli daerah dan sektor pelayanan pakir perlu didayagunakan agar kesinambungan daerah terus berlanjut. Menurut UU RI No.34 tahun 2000 Retribusi daerah yang selanjutnya disebut retribusi adaÌah pungutan daerah sebagai pembayaran atas jasa ataupemberian izin tertentu yang khusus disediakan dan atau diberikan oleh pemerintah daerah untuk kepentingan orang pribadi atau badan. </w:t>
      </w:r>
    </w:p>
    <w:p>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Menurut Davey (dalam Sulistiyaningsih, 2008) Menyatakan bahwa dalam praktek pajak dan retribusi perbedaan yang dimiliki menjadi kurang jelas dan dua sisi.Pertama, retribusi dapat dikenakan biaya jasa-jasa yang disediakan ataudiberikan.Retribusi yang demikian praktis merupakan pajak-pajak yang efektif.Kedua, suatu jasa mungkin hanya sebagian dibiayai oleh retribusi, sisanyabersumber dari subsidi khususnya atau tergabung dari penerimaan pajak umum. Menurut Soeratno dan Soeparmono (dalam Sulistiyaningsih, 2008)Retribusi daerah adalah suatu bentuk pungutan sebagai imbalan atas manfaat yangdiperoleh secara langsung oleh seseorang atau badan atas jasa yang nyata dan pemerintah daerah, seperti pelayanan pekerjaan, pertukaran barang, atau izin yang dikeluarkan oleh pemerintah daerah. Pungutan ini dikenakan atas keinginan untukrnemperoleh manfaat tertentu dan pemerintah daerah berkepentingan untukmengadakan pengawasan atas kegiatan tersebut. Meskipun demikian, tidak semua jasa yang diberikan oleh </w:t>
      </w:r>
    </w:p>
    <w:p>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pemerintahdaerah dapat dipungut retribusi, tetapi hanya jenis tertentu yang menurutpertimbangan sosial ekonomi layak dijadikan sebagai obyek retribusi daerah. Misalnya jasa yang telah disediakan dan dikelola secara khusus oleh BUMD bukanmerupakan retribusi wajib melainkan sebagai pendapatan BUMD. Akan tetapi apabila BUMD mcmanfaatkan jasa atau perizinan tertentu yang diberikan olehpernerintah daerah maka BUMD wajib membayar retribusi daerah.</w:t>
      </w:r>
    </w:p>
    <w:p>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Menurut PPNo.55 Tahun 2016 tentang ketentuan umum dan tata cara pemungutan pajak daerah, Retribusi daerah dapat dibedakan menjadi 3 golongan yaitu: </w:t>
      </w:r>
    </w:p>
    <w:p>
      <w:pPr>
        <w:autoSpaceDE w:val="0"/>
        <w:autoSpaceDN w:val="0"/>
        <w:adjustRightInd w:val="0"/>
        <w:spacing w:after="0" w:line="240" w:lineRule="auto"/>
        <w:ind w:left="567" w:hanging="567"/>
        <w:rPr>
          <w:rFonts w:ascii="Times New Roman" w:hAnsi="Times New Roman" w:cs="Times New Roman"/>
          <w:sz w:val="24"/>
          <w:szCs w:val="24"/>
        </w:rPr>
      </w:pPr>
      <w:r>
        <w:rPr>
          <w:rFonts w:ascii="Times New Roman" w:hAnsi="Times New Roman" w:cs="Times New Roman"/>
          <w:color w:val="000000"/>
          <w:sz w:val="24"/>
          <w:szCs w:val="24"/>
        </w:rPr>
        <w:t xml:space="preserve">1.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Retribusi Jasa Urnum </w:t>
      </w:r>
    </w:p>
    <w:p>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 xml:space="preserve">Retribusi jasa umum adalah pungutan atas pelayanan yang disediakan ataudiberikan pemerintah daerah untuk tujuan kepentingan dan kemanfaatan umum serta dapat dinikmati oleh orang pribadi atau badan. Contoh retribusi jasa umum adalah retribusi atas pelayanan kesehatan, retribusi pasar, dan retribusi air bersih, retribusi persampahan, retribusi pemakaman. </w:t>
      </w:r>
    </w:p>
    <w:p>
      <w:pPr>
        <w:autoSpaceDE w:val="0"/>
        <w:autoSpaceDN w:val="0"/>
        <w:adjustRightInd w:val="0"/>
        <w:spacing w:after="0" w:line="240" w:lineRule="auto"/>
        <w:ind w:left="567" w:hanging="567"/>
        <w:rPr>
          <w:rFonts w:ascii="Times New Roman" w:hAnsi="Times New Roman" w:cs="Times New Roman"/>
          <w:sz w:val="24"/>
          <w:szCs w:val="24"/>
        </w:rPr>
      </w:pPr>
      <w:r>
        <w:rPr>
          <w:rFonts w:ascii="Times New Roman" w:hAnsi="Times New Roman" w:cs="Times New Roman"/>
          <w:color w:val="000000"/>
          <w:sz w:val="24"/>
          <w:szCs w:val="24"/>
        </w:rPr>
        <w:t xml:space="preserve">2.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Retribusi Jasa Usaha </w:t>
      </w:r>
    </w:p>
    <w:p>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 xml:space="preserve">Retribusi jasa usaha adalah pungutan atas pelayanan yang disediakan olehpemerintah daerah dengan menganut prinsip komersial yang meliputi: </w:t>
      </w:r>
    </w:p>
    <w:p>
      <w:pPr>
        <w:autoSpaceDE w:val="0"/>
        <w:autoSpaceDN w:val="0"/>
        <w:adjustRightInd w:val="0"/>
        <w:spacing w:after="0" w:line="240" w:lineRule="auto"/>
        <w:ind w:left="567" w:hanging="283"/>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Pelayanan dengan menggunakan atau memanfaatkan kekayaan daerah yang belum dimanfaatkan secara optimal; dan/atau </w:t>
      </w:r>
    </w:p>
    <w:p>
      <w:pPr>
        <w:autoSpaceDE w:val="0"/>
        <w:autoSpaceDN w:val="0"/>
        <w:adjustRightInd w:val="0"/>
        <w:spacing w:after="0" w:line="240" w:lineRule="auto"/>
        <w:ind w:left="567" w:hanging="283"/>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Pelayanan oleh pemerintah daerah sepanjang belum dapat disediakan secara memadai oleh pihak swasta. </w:t>
      </w:r>
    </w:p>
    <w:p>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 xml:space="preserve">Contohnya sepersi retribusi terminal, retribusi tempat khusus parkir retribusi, tempat penitipan anak, retribusi pasar grosir,retribusi tempat pelelangan dan retribusi pemakaian kekayaan daerah.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Pr>
          <w:rFonts w:ascii="Times New Roman" w:hAnsi="Times New Roman" w:cs="Times New Roman"/>
          <w:color w:val="000000"/>
          <w:sz w:val="24"/>
          <w:szCs w:val="24"/>
        </w:rPr>
        <w:tab/>
      </w:r>
      <w:r>
        <w:rPr>
          <w:rFonts w:ascii="Times New Roman" w:hAnsi="Times New Roman" w:cs="Times New Roman"/>
          <w:color w:val="000000"/>
          <w:sz w:val="24"/>
          <w:szCs w:val="24"/>
        </w:rPr>
        <w:t>Retribusi Perizinan Tertentu</w:t>
      </w:r>
    </w:p>
    <w:p>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 xml:space="preserve">Retribusi perizinan tertentu adalahretribusi atas kegiatan tertentu pemerintah daerah dalam rangka pemberian izin atas orang pribadi atau badan yang dimaksudkan untuk pembinaan, pengaturan, pengendalian, dan pengawasan atas kegiatan pemanfaatan ruang, pengamanan sumber daya alam guna menjagakelestarian lingkungan.Contoh dari retribusi perijinan ini adalah seperti: retribusi izin mendirikan bangunan,retribusi izin trayek, dan retribusi izin bangunan.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Retribusi memiliki fungsi yang sangat penting terhadap Pendapatan Asli Daerah (PAD), Dimana fungsitersebut dapat diukur berdasarkan target capaipungutan retribusi. Apabila target pencapaiannya tinggi, maka fungsi retribusiterhadap PAD akan tinggi atau semakin besar juga. Wajib retribusi daerah adalah orang pribadi atau badan yang menurut peraturan perundang-undangan retribusi daerah yang diwajibkan untuk yang baik secara ekonomi dan tidak dapat diterapkan prinsip pengecualian atas barang tersebut.</w:t>
      </w:r>
    </w:p>
    <w:p>
      <w:pPr>
        <w:autoSpaceDE w:val="0"/>
        <w:autoSpaceDN w:val="0"/>
        <w:adjustRightInd w:val="0"/>
        <w:spacing w:after="0" w:line="240" w:lineRule="auto"/>
        <w:ind w:firstLine="567"/>
        <w:jc w:val="both"/>
        <w:rPr>
          <w:rFonts w:ascii="Times New Roman" w:hAnsi="Times New Roman" w:cs="Times New Roman"/>
          <w:color w:val="000000"/>
          <w:sz w:val="24"/>
          <w:szCs w:val="24"/>
        </w:rPr>
      </w:pPr>
    </w:p>
    <w:p>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Keuntungan Badan Usaha Milik Daerah (BUMD)</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Suatu usaha dikatakan memiliki laba apabila TR&gt;TC dan jika TR=TC ini dikatakan dengan impas atau (BEP) jika TR&lt;TC akan mengakibatkan kerugian, karena total penerimaan dari outputnya lebih rendah dari total biaya pendukungnya sehingga perusahaan tersebut rugi. Menurut Hakim (2007:68), hasil pemasukan milik daerah dan hasilpengeluaran kekayaan milik daerah yang dipisahkan merupakan penerimaan daerah yang berasal dari perusahaan daerah dan pengelolaan kekayaan daerah yang dipisahkan. Jenis pendapatan ini meliputi bagian laba pemasukan milik daerah, bagian laba keuangan bank, bagian laba keuangan non bank dan bagian laba atas pengelolaan modal atau investasi.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Secara umum di beberapa daerah masih banyak kedapatan BUMD yang terus disubsidi oleh pemerintah daerah dengan alasan untuk kepentingan publik. Adapun perusahaan daerah yang disubsidi tersebut adalah Perusahaan Daerah Air Minum (PDAM). Dengan demikian banyak PDAM yang terdapat pada berbagai daerah belum memiliki kontribusi yang nyata terhadap pendapatan asli daerah (Hakim 2007:71). Dari pendapat Hakim di atas kasus yang sama juga terjadi pada PDAM Aceh Timur, di mana setiap tahunnya mengalami situasi TR&lt;TC, sehingga agar perusahaan tersebut tetap bertahan demi kepentingan umum, maka setiap tahunnya disubsidi oleh pemerintah daerah. Perusahaan daerah lainnya seperti Bank Aceh, Rumah Sakit Umum Daerah (RSUD) memberikan kontribusi yang nyata terhadap PAD Aceh Timur.</w:t>
      </w:r>
    </w:p>
    <w:p>
      <w:pPr>
        <w:autoSpaceDE w:val="0"/>
        <w:autoSpaceDN w:val="0"/>
        <w:adjustRightInd w:val="0"/>
        <w:spacing w:after="0" w:line="240" w:lineRule="auto"/>
        <w:jc w:val="both"/>
        <w:rPr>
          <w:rFonts w:ascii="Times New Roman" w:hAnsi="Times New Roman" w:cs="Times New Roman"/>
          <w:color w:val="000000"/>
          <w:sz w:val="24"/>
          <w:szCs w:val="24"/>
        </w:rPr>
      </w:pPr>
    </w:p>
    <w:p>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Pendapatan Asli Daerah</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Pendapatan Asli Daerah (PAD) adalah salah satu sumber dana pembiayaan Pembangunan Daerah pada kenyataannya belum cukup memberikan sumbangan bagi pertumbuhan daerah, hal ini mengharuskan pemerintah daerah menggali dan meningkatkan pendapatan daerah terutama sumber pendapatan asli daerah. Pendapatan Asli Daerah (PAD) merupakan pendapatan daerah yang bersumber dari hasil pajak daerah hasil retribusi daerah hasil pengelolaan kekayaan daerah yang dipisahkan dan lain-lain pendapatan asli daerah yang sah yang bertujuan untuk memberikan keleluasaan kepada daerah dalam menggali pendanaan dalam pelaksanaan otonomi daerah sebagai perwujudan asas desentralisasi (penjelasan UU Nomor 33 tahun 2004). </w:t>
      </w:r>
    </w:p>
    <w:p>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Dasar hukum Pendapatan Asli Daerah terdapat dalam undang-undang nomor 23 tahun 2014 tentang pemerintahan daerah dan undang-undang Nomor 33 tahun 2004 tentang perimbangan keuangan antara Pemerintah Pusat dan Pemerintah Daerah. Menurut Mardiasmo (2006:132), Pendapatan Asli Daerah adalah penerimaan yang diperoleh dari sektor pajak Daerah dan Retribusi Daerah hasil perusahaan milik daerah hasil pengelolaan kekayaan daerah yang dipisahkan dan lain-lain pendapatan asli daerah yang sah di dalam undang-undang Nomor 33 tahun 2004 tentang perimbangan keuangan antara pemerintah pusat dan pemerintah daerah disebutkan bahwa sumber pendapatan daerah terdiri dari Pendapatan Asli Daerah bagi hasil pajak dan bukan pajak. </w:t>
      </w:r>
    </w:p>
    <w:p>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color w:val="000000"/>
          <w:sz w:val="24"/>
          <w:szCs w:val="24"/>
        </w:rPr>
        <w:t xml:space="preserve">Unsur-unsur PAD menurut Halim (2007:67) yaitu sebagai berikut: </w:t>
      </w:r>
    </w:p>
    <w:p>
      <w:pPr>
        <w:autoSpaceDE w:val="0"/>
        <w:autoSpaceDN w:val="0"/>
        <w:adjustRightInd w:val="0"/>
        <w:spacing w:after="0" w:line="240" w:lineRule="auto"/>
        <w:ind w:left="567" w:hanging="567"/>
        <w:rPr>
          <w:rFonts w:ascii="Times New Roman" w:hAnsi="Times New Roman" w:cs="Times New Roman"/>
          <w:sz w:val="24"/>
          <w:szCs w:val="24"/>
        </w:rPr>
      </w:pPr>
      <w:r>
        <w:rPr>
          <w:rFonts w:ascii="Times New Roman" w:hAnsi="Times New Roman" w:cs="Times New Roman"/>
          <w:color w:val="000000"/>
          <w:sz w:val="24"/>
          <w:szCs w:val="24"/>
        </w:rPr>
        <w:t xml:space="preserve">1.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Pajak Daerah </w:t>
      </w:r>
    </w:p>
    <w:p>
      <w:pPr>
        <w:autoSpaceDE w:val="0"/>
        <w:autoSpaceDN w:val="0"/>
        <w:adjustRightInd w:val="0"/>
        <w:spacing w:after="0" w:line="240" w:lineRule="auto"/>
        <w:ind w:left="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Berdasarkan UU Nomor 34 Tahun 2000 tentang perubahan atas UU Nomor 18 Tahun 1997 tentang Pajak Daerah dan Retribusi Daerah dalam Saragih (2007:61), yang dimaksud dengan pajak daerah adalah iuran wajib yang dilakukan oleh seorang pribadi dan badan kepada daerah tanpa imbalan langsung yang seimbang yang dapat dipaksakan berdasarkan peraturan perundang-undangan yang berlaku hukum yang digunakan untuk membiayai penyelenggaraan pemerintah daerah dan pembangunan daerah.Menurut Halim (2007:67), Pajak daerah merupakan pendapatan daerah yang berasal dari pajak titik jenis-jenis pajak daerah untuk Kabupaten atau Kota menurut Halim (2007:67) antara lain ialah: Pajak Hotel, Pajak Restoran, Pajak Hiburan, Pajak Reklame, Pajak Penerangan Jalan, Pajak Pengambilan Bahan Galian Golongan C, Pajak Parkir, </w:t>
      </w:r>
    </w:p>
    <w:p>
      <w:p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color w:val="000000"/>
          <w:sz w:val="24"/>
          <w:szCs w:val="24"/>
        </w:rPr>
        <w:t xml:space="preserve">2.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Retribusi Daerah </w:t>
      </w:r>
    </w:p>
    <w:p>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 xml:space="preserve">Yang dimaksud dengan retribusi menurut Saragih (2007:65) adalah pungutan daerah sebagai pembayaran atas jasa atau pemberian izin tertentu yang khusus disediakan dan atau diberikan oleh Pemda untuk kepentingan orang pribadi atau badan Ismail (2005:57). Menurut Halim (2007:67), retribusi daerah merupakan pendapatan daerah yang berasal dari retribusi daerah. Retribusi untuk Kabupaten atau Kota dapat dibagi menjadi 2, yakni: </w:t>
      </w:r>
    </w:p>
    <w:p>
      <w:pPr>
        <w:autoSpaceDE w:val="0"/>
        <w:autoSpaceDN w:val="0"/>
        <w:adjustRightInd w:val="0"/>
        <w:spacing w:after="0" w:line="240" w:lineRule="auto"/>
        <w:ind w:left="567" w:hanging="283"/>
        <w:jc w:val="both"/>
        <w:rPr>
          <w:rFonts w:ascii="Times New Roman" w:hAnsi="Times New Roman" w:cs="Times New Roman"/>
          <w:sz w:val="24"/>
          <w:szCs w:val="24"/>
        </w:rPr>
      </w:pPr>
      <w:r>
        <w:rPr>
          <w:rFonts w:ascii="Times New Roman" w:hAnsi="Times New Roman" w:cs="Times New Roman"/>
          <w:color w:val="000000"/>
          <w:sz w:val="24"/>
          <w:szCs w:val="24"/>
        </w:rPr>
        <w:t xml:space="preserve">a. Retribusi untuk kabupaten atau kota ditetapkan sesuai kewenangan masing-masing daerah, terdiri dari 10 jenis retribusi jasa umum, empat jenis retribusi perizinan tertentu. </w:t>
      </w:r>
    </w:p>
    <w:p>
      <w:pPr>
        <w:autoSpaceDE w:val="0"/>
        <w:autoSpaceDN w:val="0"/>
        <w:adjustRightInd w:val="0"/>
        <w:spacing w:after="0" w:line="240" w:lineRule="auto"/>
        <w:ind w:left="567" w:hanging="283"/>
        <w:jc w:val="both"/>
        <w:rPr>
          <w:rFonts w:ascii="Times New Roman" w:hAnsi="Times New Roman" w:cs="Times New Roman"/>
          <w:sz w:val="24"/>
          <w:szCs w:val="24"/>
        </w:rPr>
      </w:pPr>
      <w:r>
        <w:rPr>
          <w:rFonts w:ascii="Times New Roman" w:hAnsi="Times New Roman" w:cs="Times New Roman"/>
          <w:color w:val="000000"/>
          <w:sz w:val="24"/>
          <w:szCs w:val="24"/>
        </w:rPr>
        <w:t xml:space="preserve">b.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Retribusi untuk Kabupaten atau Kota ditetapkan sesuai jasa atau pelayanan yang diberikan oleh masing-masing daerah terdiri dari 13 jenis retribusi jasa usaha.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Pr>
          <w:rFonts w:ascii="Times New Roman" w:hAnsi="Times New Roman" w:cs="Times New Roman"/>
          <w:color w:val="000000"/>
          <w:sz w:val="24"/>
          <w:szCs w:val="24"/>
        </w:rPr>
        <w:tab/>
      </w:r>
      <w:r>
        <w:rPr>
          <w:rFonts w:ascii="Times New Roman" w:hAnsi="Times New Roman" w:cs="Times New Roman"/>
          <w:color w:val="000000"/>
          <w:sz w:val="24"/>
          <w:szCs w:val="24"/>
        </w:rPr>
        <w:t>Hasil perusahaan milik daerah dan hasil pengelolaan kekayaan milik daerah yang dipisahkan</w:t>
      </w:r>
    </w:p>
    <w:p>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 xml:space="preserve">Menurut Halim (2007:68), hasil perusahaan milik daerah dan hasil pengelolaan kekayaan daerah yang dipisahkan merupakan penerimaan daerah yang berasal dari perusahaan milik daerah dan pengelolaan kekayaan daerah yang dipisahkan. Menurut Halim 2048 jenis pendapatan ini meliputi objek pendapatan berikut: bagian laba perusahaan milik daerah, bagian lembaga keuangan bank bagian laba lembaga keuangan non-bank, bagian laba atas penyertaan modal atau investasi. </w:t>
      </w:r>
    </w:p>
    <w:p>
      <w:pPr>
        <w:autoSpaceDE w:val="0"/>
        <w:autoSpaceDN w:val="0"/>
        <w:adjustRightInd w:val="0"/>
        <w:spacing w:after="0" w:line="240" w:lineRule="auto"/>
        <w:ind w:left="567" w:hanging="567"/>
        <w:rPr>
          <w:rFonts w:ascii="Times New Roman" w:hAnsi="Times New Roman" w:cs="Times New Roman"/>
          <w:sz w:val="24"/>
          <w:szCs w:val="24"/>
        </w:rPr>
      </w:pPr>
      <w:r>
        <w:rPr>
          <w:rFonts w:ascii="Times New Roman" w:hAnsi="Times New Roman" w:cs="Times New Roman"/>
          <w:color w:val="000000"/>
          <w:sz w:val="24"/>
          <w:szCs w:val="24"/>
        </w:rPr>
        <w:t xml:space="preserve">4.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Lain-lain PAD yang sah </w:t>
      </w:r>
    </w:p>
    <w:p>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 xml:space="preserve">Menurut Halim (2007:69), pendapatan ini merupakan penerimaan daerah yang berasal dari lain-lain milik pemerintah daerah menurut Halim (2007:69) jenis pendapatan ini meliputi objek pendapatan berikut: hasil penjualan aset daerah yang dipisahkan penerimaan jasa giro penerimaan bunga deposito Denda keterlambatan pelaksanaan pekerjaan, penerimaan ganti rugi atas kerugian atau kehilangan kekayaan daerah (Ismail, 2005:54). </w:t>
      </w:r>
    </w:p>
    <w:p>
      <w:pPr>
        <w:autoSpaceDE w:val="0"/>
        <w:autoSpaceDN w:val="0"/>
        <w:adjustRightInd w:val="0"/>
        <w:spacing w:after="0" w:line="240" w:lineRule="auto"/>
        <w:jc w:val="both"/>
        <w:rPr>
          <w:rFonts w:ascii="Times New Roman" w:hAnsi="Times New Roman" w:cs="Times New Roman"/>
          <w:b/>
          <w:bCs/>
          <w:color w:val="000000"/>
          <w:sz w:val="24"/>
          <w:szCs w:val="24"/>
        </w:rPr>
      </w:pPr>
    </w:p>
    <w:p>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METODE PENELITIAN</w:t>
      </w:r>
    </w:p>
    <w:p>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Ruang Lingkup dan Lokasi Penelitian</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Penelitian ini merupakan analisis data sekunder tentang pajak penerangan jalan, pajak reklame, retribusi daerah dan keuntungan BUMD terhadap pendapatan asli daerah Kabupaten Aceh Timur. Data yang digunakan data runtut waktu dari tahun 2007 sampai dengan  2019 (n = 13). Ruang lingkup penelitian ini pada konsentrasi ekonomi publik. Penelitian ini direncanakan dari bulan Februari  - Mei 2020.</w:t>
      </w:r>
    </w:p>
    <w:p>
      <w:pPr>
        <w:autoSpaceDE w:val="0"/>
        <w:autoSpaceDN w:val="0"/>
        <w:adjustRightInd w:val="0"/>
        <w:spacing w:after="0" w:line="240" w:lineRule="auto"/>
        <w:ind w:firstLine="567"/>
        <w:jc w:val="both"/>
        <w:rPr>
          <w:rFonts w:ascii="Times New Roman" w:hAnsi="Times New Roman" w:cs="Times New Roman"/>
          <w:b/>
          <w:bCs/>
          <w:color w:val="000000"/>
          <w:sz w:val="24"/>
          <w:szCs w:val="24"/>
        </w:rPr>
      </w:pPr>
    </w:p>
    <w:p>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Jenis dan Sumber Data</w:t>
      </w:r>
    </w:p>
    <w:p>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color w:val="000000"/>
          <w:sz w:val="24"/>
          <w:szCs w:val="24"/>
        </w:rPr>
        <w:t xml:space="preserve">Data yang digunakan dalam penelitian ini ada dua jenis yaitu: </w:t>
      </w:r>
    </w:p>
    <w:p>
      <w:p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color w:val="000000"/>
          <w:sz w:val="24"/>
          <w:szCs w:val="24"/>
        </w:rPr>
        <w:t xml:space="preserve">1.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Data kualitatif, maksudnya data bukan dalam bentuk angka, melainkan dalam bentuk kata-kata baik lisan maupun tulisan yang dapat mendeskripsikan mengenai objek yang diteliti. </w:t>
      </w:r>
    </w:p>
    <w:p>
      <w:p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color w:val="000000"/>
          <w:sz w:val="24"/>
          <w:szCs w:val="24"/>
        </w:rPr>
        <w:t>2.</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Data kuantitatif, yaitu data yang berbentuk angka yang diolah dengan menggunakan matematis, statistik dan bahkan elementrik. Data kuantitatif dalam penelitian ini menyangkut dengan objek yang diteliti. Datanya diperoleh dari BPS dan DPKA Kabupaten Aceh Timur.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Sumber data dalam penelitian ini menggunakan data sekunder yang merupakan data yang telah dikumpulkan oleh instansi terkait seperti BPS dan DPKA Kabupaten Aceh Timur.</w:t>
      </w:r>
    </w:p>
    <w:p>
      <w:pPr>
        <w:autoSpaceDE w:val="0"/>
        <w:autoSpaceDN w:val="0"/>
        <w:adjustRightInd w:val="0"/>
        <w:spacing w:after="0" w:line="240" w:lineRule="auto"/>
        <w:ind w:firstLine="567"/>
        <w:jc w:val="both"/>
        <w:rPr>
          <w:rFonts w:ascii="Times New Roman" w:hAnsi="Times New Roman" w:cs="Times New Roman"/>
          <w:b/>
          <w:sz w:val="24"/>
          <w:szCs w:val="24"/>
        </w:rPr>
      </w:pPr>
    </w:p>
    <w:p>
      <w:pPr>
        <w:autoSpaceDE w:val="0"/>
        <w:autoSpaceDN w:val="0"/>
        <w:adjustRightInd w:val="0"/>
        <w:spacing w:after="0" w:line="240" w:lineRule="auto"/>
        <w:jc w:val="both"/>
        <w:rPr>
          <w:rFonts w:ascii="Times New Roman" w:hAnsi="Times New Roman" w:cs="Times New Roman"/>
          <w:b/>
          <w:sz w:val="24"/>
          <w:szCs w:val="24"/>
        </w:rPr>
      </w:pPr>
    </w:p>
    <w:p>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Metode Pengumpulan Data</w:t>
      </w:r>
    </w:p>
    <w:p>
      <w:pPr>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color w:val="000000"/>
          <w:sz w:val="24"/>
          <w:szCs w:val="24"/>
        </w:rPr>
        <w:t xml:space="preserve">Penelitian ini menggunakan data sekunder yang diperoleh melalui: </w:t>
      </w:r>
    </w:p>
    <w:p>
      <w:p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color w:val="000000"/>
          <w:sz w:val="24"/>
          <w:szCs w:val="24"/>
        </w:rPr>
        <w:t xml:space="preserve">1.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Penelitian perpustakaan atau </w:t>
      </w:r>
      <w:r>
        <w:rPr>
          <w:rFonts w:ascii="Times New Roman" w:hAnsi="Times New Roman" w:cs="Times New Roman"/>
          <w:i/>
          <w:iCs/>
          <w:color w:val="000000"/>
          <w:sz w:val="24"/>
          <w:szCs w:val="24"/>
        </w:rPr>
        <w:t>li braryrea search</w:t>
      </w:r>
      <w:r>
        <w:rPr>
          <w:rFonts w:ascii="Times New Roman" w:hAnsi="Times New Roman" w:cs="Times New Roman"/>
          <w:color w:val="000000"/>
          <w:sz w:val="24"/>
          <w:szCs w:val="24"/>
        </w:rPr>
        <w:t xml:space="preserve"> yaitu teknik pengumpulan data dengan cara mempelajari buku-buku literatur dan laporan tahunan instansi terkait guna memperoleh data yang ada hubungannya dengan penelitian ini. </w:t>
      </w:r>
    </w:p>
    <w:p>
      <w:pPr>
        <w:autoSpaceDE w:val="0"/>
        <w:autoSpaceDN w:val="0"/>
        <w:adjustRightInd w:val="0"/>
        <w:spacing w:after="0" w:line="240" w:lineRule="auto"/>
        <w:ind w:left="567" w:hanging="567"/>
        <w:rPr>
          <w:rFonts w:ascii="Times New Roman" w:hAnsi="Times New Roman" w:cs="Times New Roman"/>
          <w:sz w:val="24"/>
          <w:szCs w:val="24"/>
        </w:rPr>
      </w:pPr>
      <w:r>
        <w:rPr>
          <w:rFonts w:ascii="Times New Roman" w:hAnsi="Times New Roman" w:cs="Times New Roman"/>
          <w:color w:val="000000"/>
          <w:sz w:val="24"/>
          <w:szCs w:val="24"/>
        </w:rPr>
        <w:t xml:space="preserve">2.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Dokumentasi yaitu cara mengumpulkan data melalui dokumen-dokumen yang ada pada instansi terkait seperti BPS dan DPKA Kabupaten Aceh Timur. </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 </w:t>
      </w:r>
    </w:p>
    <w:p>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Metode Analisis Data</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Untuk mengetahui pengaruh variabel bebas (X</w:t>
      </w:r>
      <w:r>
        <w:rPr>
          <w:rFonts w:ascii="Times New Roman" w:hAnsi="Times New Roman" w:cs="Times New Roman"/>
          <w:color w:val="000000"/>
          <w:sz w:val="16"/>
          <w:szCs w:val="16"/>
        </w:rPr>
        <w:t>1</w:t>
      </w:r>
      <w:r>
        <w:rPr>
          <w:rFonts w:ascii="Times New Roman" w:hAnsi="Times New Roman" w:cs="Times New Roman"/>
          <w:color w:val="000000"/>
          <w:sz w:val="24"/>
          <w:szCs w:val="24"/>
        </w:rPr>
        <w:t>, X</w:t>
      </w:r>
      <w:r>
        <w:rPr>
          <w:rFonts w:ascii="Times New Roman" w:hAnsi="Times New Roman" w:cs="Times New Roman"/>
          <w:color w:val="000000"/>
          <w:sz w:val="16"/>
          <w:szCs w:val="16"/>
        </w:rPr>
        <w:t>2</w:t>
      </w:r>
      <w:r>
        <w:rPr>
          <w:rFonts w:ascii="Times New Roman" w:hAnsi="Times New Roman" w:cs="Times New Roman"/>
          <w:color w:val="000000"/>
          <w:sz w:val="24"/>
          <w:szCs w:val="24"/>
        </w:rPr>
        <w:t>, X</w:t>
      </w:r>
      <w:r>
        <w:rPr>
          <w:rFonts w:ascii="Times New Roman" w:hAnsi="Times New Roman" w:cs="Times New Roman"/>
          <w:color w:val="000000"/>
          <w:sz w:val="16"/>
          <w:szCs w:val="16"/>
        </w:rPr>
        <w:t>3</w:t>
      </w:r>
      <w:r>
        <w:rPr>
          <w:rFonts w:ascii="Times New Roman" w:hAnsi="Times New Roman" w:cs="Times New Roman"/>
          <w:color w:val="000000"/>
          <w:sz w:val="24"/>
          <w:szCs w:val="24"/>
        </w:rPr>
        <w:t xml:space="preserve"> dan X</w:t>
      </w:r>
      <w:r>
        <w:rPr>
          <w:rFonts w:ascii="Times New Roman" w:hAnsi="Times New Roman" w:cs="Times New Roman"/>
          <w:color w:val="000000"/>
          <w:sz w:val="16"/>
          <w:szCs w:val="16"/>
        </w:rPr>
        <w:t>4</w:t>
      </w:r>
      <w:r>
        <w:rPr>
          <w:rFonts w:ascii="Times New Roman" w:hAnsi="Times New Roman" w:cs="Times New Roman"/>
          <w:color w:val="000000"/>
          <w:sz w:val="24"/>
          <w:szCs w:val="24"/>
        </w:rPr>
        <w:t>) terhadap variabel terikat (Y) digunakan model regresi linear berganda (Sunyoto, 2010:30), perumusannya sebagai berikut:</w:t>
      </w:r>
      <w:r>
        <w:rPr>
          <w:rFonts w:ascii="Times New Roman" w:hAnsi="Times New Roman" w:cs="Times New Roman"/>
          <w:b/>
          <w:bCs/>
          <w:color w:val="000000"/>
          <w:sz w:val="24"/>
          <w:szCs w:val="24"/>
        </w:rPr>
        <w:t xml:space="preserve"> </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Y = ß</w:t>
      </w:r>
      <w:r>
        <w:rPr>
          <w:rFonts w:ascii="Times New Roman" w:hAnsi="Times New Roman" w:cs="Times New Roman"/>
          <w:color w:val="000000"/>
          <w:sz w:val="16"/>
          <w:szCs w:val="16"/>
        </w:rPr>
        <w:t>0</w:t>
      </w:r>
      <w:r>
        <w:rPr>
          <w:rFonts w:ascii="Times New Roman" w:hAnsi="Times New Roman" w:cs="Times New Roman"/>
          <w:color w:val="000000"/>
          <w:sz w:val="24"/>
          <w:szCs w:val="24"/>
        </w:rPr>
        <w:t xml:space="preserve"> + ß</w:t>
      </w:r>
      <w:r>
        <w:rPr>
          <w:rFonts w:ascii="Times New Roman" w:hAnsi="Times New Roman" w:cs="Times New Roman"/>
          <w:color w:val="000000"/>
          <w:sz w:val="16"/>
          <w:szCs w:val="16"/>
        </w:rPr>
        <w:t>1</w:t>
      </w:r>
      <w:r>
        <w:rPr>
          <w:rFonts w:ascii="Times New Roman" w:hAnsi="Times New Roman" w:cs="Times New Roman"/>
          <w:color w:val="000000"/>
          <w:sz w:val="24"/>
          <w:szCs w:val="24"/>
        </w:rPr>
        <w:t>X</w:t>
      </w:r>
      <w:r>
        <w:rPr>
          <w:rFonts w:ascii="Times New Roman" w:hAnsi="Times New Roman" w:cs="Times New Roman"/>
          <w:color w:val="000000"/>
          <w:sz w:val="16"/>
          <w:szCs w:val="16"/>
        </w:rPr>
        <w:t>1</w:t>
      </w:r>
      <w:r>
        <w:rPr>
          <w:rFonts w:ascii="Times New Roman" w:hAnsi="Times New Roman" w:cs="Times New Roman"/>
          <w:color w:val="000000"/>
          <w:sz w:val="24"/>
          <w:szCs w:val="24"/>
        </w:rPr>
        <w:t xml:space="preserve"> + ß</w:t>
      </w:r>
      <w:r>
        <w:rPr>
          <w:rFonts w:ascii="Times New Roman" w:hAnsi="Times New Roman" w:cs="Times New Roman"/>
          <w:color w:val="000000"/>
          <w:sz w:val="16"/>
          <w:szCs w:val="16"/>
        </w:rPr>
        <w:t>2</w:t>
      </w:r>
      <w:r>
        <w:rPr>
          <w:rFonts w:ascii="Times New Roman" w:hAnsi="Times New Roman" w:cs="Times New Roman"/>
          <w:color w:val="000000"/>
          <w:sz w:val="24"/>
          <w:szCs w:val="24"/>
        </w:rPr>
        <w:t>X</w:t>
      </w:r>
      <w:r>
        <w:rPr>
          <w:rFonts w:ascii="Times New Roman" w:hAnsi="Times New Roman" w:cs="Times New Roman"/>
          <w:color w:val="000000"/>
          <w:sz w:val="16"/>
          <w:szCs w:val="16"/>
        </w:rPr>
        <w:t>2</w:t>
      </w:r>
      <w:r>
        <w:rPr>
          <w:rFonts w:ascii="Times New Roman" w:hAnsi="Times New Roman" w:cs="Times New Roman"/>
          <w:color w:val="000000"/>
          <w:sz w:val="24"/>
          <w:szCs w:val="24"/>
        </w:rPr>
        <w:t xml:space="preserve"> + ß</w:t>
      </w:r>
      <w:r>
        <w:rPr>
          <w:rFonts w:ascii="Times New Roman" w:hAnsi="Times New Roman" w:cs="Times New Roman"/>
          <w:color w:val="000000"/>
          <w:sz w:val="16"/>
          <w:szCs w:val="16"/>
        </w:rPr>
        <w:t>3</w:t>
      </w:r>
      <w:r>
        <w:rPr>
          <w:rFonts w:ascii="Times New Roman" w:hAnsi="Times New Roman" w:cs="Times New Roman"/>
          <w:color w:val="000000"/>
          <w:sz w:val="24"/>
          <w:szCs w:val="24"/>
        </w:rPr>
        <w:t>X</w:t>
      </w:r>
      <w:r>
        <w:rPr>
          <w:rFonts w:ascii="Times New Roman" w:hAnsi="Times New Roman" w:cs="Times New Roman"/>
          <w:color w:val="000000"/>
          <w:sz w:val="16"/>
          <w:szCs w:val="16"/>
        </w:rPr>
        <w:t>3</w:t>
      </w:r>
      <w:r>
        <w:rPr>
          <w:rFonts w:ascii="Times New Roman" w:hAnsi="Times New Roman" w:cs="Times New Roman"/>
          <w:color w:val="000000"/>
          <w:sz w:val="24"/>
          <w:szCs w:val="24"/>
        </w:rPr>
        <w:t xml:space="preserve"> + ß</w:t>
      </w:r>
      <w:r>
        <w:rPr>
          <w:rFonts w:ascii="Times New Roman" w:hAnsi="Times New Roman" w:cs="Times New Roman"/>
          <w:color w:val="000000"/>
          <w:sz w:val="16"/>
          <w:szCs w:val="16"/>
        </w:rPr>
        <w:t>4</w:t>
      </w:r>
      <w:r>
        <w:rPr>
          <w:rFonts w:ascii="Times New Roman" w:hAnsi="Times New Roman" w:cs="Times New Roman"/>
          <w:color w:val="000000"/>
          <w:sz w:val="24"/>
          <w:szCs w:val="24"/>
        </w:rPr>
        <w:t>X</w:t>
      </w:r>
      <w:r>
        <w:rPr>
          <w:rFonts w:ascii="Times New Roman" w:hAnsi="Times New Roman" w:cs="Times New Roman"/>
          <w:color w:val="000000"/>
          <w:sz w:val="16"/>
          <w:szCs w:val="16"/>
        </w:rPr>
        <w:t>4</w:t>
      </w:r>
      <w:r>
        <w:rPr>
          <w:rFonts w:ascii="Times New Roman" w:hAnsi="Times New Roman" w:cs="Times New Roman"/>
          <w:color w:val="000000"/>
          <w:sz w:val="24"/>
          <w:szCs w:val="24"/>
        </w:rPr>
        <w:t xml:space="preserve"> + e</w:t>
      </w:r>
      <w:r>
        <w:rPr>
          <w:rFonts w:ascii="Times New Roman" w:hAnsi="Times New Roman" w:cs="Times New Roman"/>
          <w:color w:val="000000"/>
          <w:sz w:val="16"/>
          <w:szCs w:val="16"/>
        </w:rPr>
        <w:t xml:space="preserve">i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Pengujian Hipotesis dilakukan dengan alat bantu statistik Uji t dan uji F. Uji t dilakukan untuk menguji secara parsial dan statistik uji F secara simultan.  </w:t>
      </w:r>
    </w:p>
    <w:p>
      <w:pPr>
        <w:autoSpaceDE w:val="0"/>
        <w:autoSpaceDN w:val="0"/>
        <w:adjustRightInd w:val="0"/>
        <w:spacing w:after="0" w:line="240" w:lineRule="auto"/>
        <w:jc w:val="both"/>
        <w:rPr>
          <w:rFonts w:ascii="Times New Roman" w:hAnsi="Times New Roman" w:cs="Times New Roman"/>
          <w:color w:val="000000"/>
          <w:sz w:val="24"/>
          <w:szCs w:val="24"/>
        </w:rPr>
      </w:pPr>
    </w:p>
    <w:p>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HASIL DAN PEMBAHASAN</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Determinan atau faktor-faktor yang</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mepengaruhi  Pendapatan Asli Daerah (PAD) di Kabupaten Aceh Timur adalah pajak daerah, retribusi daerah, laba BUMD dan berbagai pendapatan lainnya daerah yang sah menurut Qanun. Dalam penelitian ini pajak daerah diwakilkan oleh pajak penerangan jalan dan pajak reklame, jadi bukan pajak daerah secara total. Dengan demikian determinan PAD yang ada dalam penelitian ini adalah Pajak Penerangan Jalan, Pajak Reklame dan Retribusi Daerah dan Laba BUMD.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Selama periode observasi (2007-2019) secara rasio rata-rata PAD di Aceh Timur naik 18,21% dan tingkat kenaikan tertinggi terjadi pada tahun 2013 yaitu naik 122,9% dan yang terendah terjadi pada tahun 2009 yaitu naik 2,26%. Pada akhir tahun 2019 PAD Aceh Timur sebesar Rp 202.093.734.433, kenaikan dalam PAD dapat meningkatkan kemandirian daerah dari segi keuangan sehingga pemerintah daerah lebih leluasa dalam mengatur kegiatan pemerintahannya. </w:t>
      </w:r>
    </w:p>
    <w:p>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Untuk mengetahui pengaruh Pajak Penerangan Jalan (X </w:t>
      </w:r>
      <w:r>
        <w:rPr>
          <w:rFonts w:ascii="Times New Roman" w:hAnsi="Times New Roman" w:cs="Times New Roman"/>
          <w:color w:val="000000"/>
          <w:sz w:val="16"/>
          <w:szCs w:val="16"/>
        </w:rPr>
        <w:t xml:space="preserve">1) </w:t>
      </w:r>
      <w:r>
        <w:rPr>
          <w:rFonts w:ascii="Times New Roman" w:hAnsi="Times New Roman" w:cs="Times New Roman"/>
          <w:color w:val="000000"/>
          <w:sz w:val="24"/>
          <w:szCs w:val="24"/>
        </w:rPr>
        <w:t xml:space="preserve">Reklame (X </w:t>
      </w:r>
      <w:r>
        <w:rPr>
          <w:rFonts w:ascii="Times New Roman" w:hAnsi="Times New Roman" w:cs="Times New Roman"/>
          <w:color w:val="000000"/>
          <w:sz w:val="16"/>
          <w:szCs w:val="16"/>
        </w:rPr>
        <w:t>2</w:t>
      </w:r>
      <w:r>
        <w:rPr>
          <w:rFonts w:ascii="Times New Roman" w:hAnsi="Times New Roman" w:cs="Times New Roman"/>
          <w:color w:val="000000"/>
          <w:sz w:val="24"/>
          <w:szCs w:val="24"/>
        </w:rPr>
        <w:t xml:space="preserve">), Retribusi Daerah (X </w:t>
      </w:r>
      <w:r>
        <w:rPr>
          <w:rFonts w:ascii="Times New Roman" w:hAnsi="Times New Roman" w:cs="Times New Roman"/>
          <w:color w:val="000000"/>
          <w:sz w:val="16"/>
          <w:szCs w:val="16"/>
        </w:rPr>
        <w:t>3</w:t>
      </w:r>
      <w:r>
        <w:rPr>
          <w:rFonts w:ascii="Times New Roman" w:hAnsi="Times New Roman" w:cs="Times New Roman"/>
          <w:color w:val="000000"/>
          <w:sz w:val="24"/>
          <w:szCs w:val="24"/>
        </w:rPr>
        <w:t xml:space="preserve">), dan Laba BUMD (X </w:t>
      </w:r>
      <w:r>
        <w:rPr>
          <w:rFonts w:ascii="Times New Roman" w:hAnsi="Times New Roman" w:cs="Times New Roman"/>
          <w:color w:val="000000"/>
          <w:sz w:val="16"/>
          <w:szCs w:val="16"/>
        </w:rPr>
        <w:t>4</w:t>
      </w:r>
      <w:r>
        <w:rPr>
          <w:rFonts w:ascii="Times New Roman" w:hAnsi="Times New Roman" w:cs="Times New Roman"/>
          <w:color w:val="000000"/>
          <w:sz w:val="24"/>
          <w:szCs w:val="24"/>
        </w:rPr>
        <w:t xml:space="preserve">), Pajak ) terhadap Pendapatan Asli Daerah(Y), maka digunakan Regresi Linear Berganda. Berdasarkan hasil olahan SPSS, maka diperoleh persamaan regresi sebagai berikut: </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 xml:space="preserve">Y = 116.329,546 + 21,015 X </w:t>
      </w:r>
      <w:r>
        <w:rPr>
          <w:rFonts w:ascii="Times New Roman" w:hAnsi="Times New Roman" w:cs="Times New Roman"/>
          <w:b/>
          <w:bCs/>
          <w:color w:val="000000"/>
          <w:sz w:val="16"/>
          <w:szCs w:val="16"/>
        </w:rPr>
        <w:t xml:space="preserve">1 </w:t>
      </w:r>
      <w:r>
        <w:rPr>
          <w:rFonts w:ascii="Times New Roman" w:hAnsi="Times New Roman" w:cs="Times New Roman"/>
          <w:b/>
          <w:bCs/>
          <w:color w:val="000000"/>
          <w:sz w:val="24"/>
          <w:szCs w:val="24"/>
        </w:rPr>
        <w:t xml:space="preserve"> + 387,821 X </w:t>
      </w:r>
      <w:r>
        <w:rPr>
          <w:rFonts w:ascii="Times New Roman" w:hAnsi="Times New Roman" w:cs="Times New Roman"/>
          <w:b/>
          <w:bCs/>
          <w:color w:val="000000"/>
          <w:sz w:val="16"/>
          <w:szCs w:val="16"/>
        </w:rPr>
        <w:t xml:space="preserve">2 </w:t>
      </w:r>
      <w:r>
        <w:rPr>
          <w:rFonts w:ascii="Times New Roman" w:hAnsi="Times New Roman" w:cs="Times New Roman"/>
          <w:b/>
          <w:bCs/>
          <w:color w:val="000000"/>
          <w:sz w:val="24"/>
          <w:szCs w:val="24"/>
        </w:rPr>
        <w:t xml:space="preserve">-0,116 X </w:t>
      </w:r>
      <w:r>
        <w:rPr>
          <w:rFonts w:ascii="Times New Roman" w:hAnsi="Times New Roman" w:cs="Times New Roman"/>
          <w:b/>
          <w:bCs/>
          <w:color w:val="000000"/>
          <w:sz w:val="16"/>
          <w:szCs w:val="16"/>
        </w:rPr>
        <w:t xml:space="preserve">3 </w:t>
      </w:r>
      <w:r>
        <w:rPr>
          <w:rFonts w:ascii="Times New Roman" w:hAnsi="Times New Roman" w:cs="Times New Roman"/>
          <w:b/>
          <w:bCs/>
          <w:color w:val="000000"/>
          <w:sz w:val="24"/>
          <w:szCs w:val="24"/>
        </w:rPr>
        <w:t xml:space="preserve"> + 18,861 X </w:t>
      </w:r>
      <w:r>
        <w:rPr>
          <w:rFonts w:ascii="Times New Roman" w:hAnsi="Times New Roman" w:cs="Times New Roman"/>
          <w:b/>
          <w:bCs/>
          <w:color w:val="000000"/>
          <w:sz w:val="16"/>
          <w:szCs w:val="16"/>
        </w:rPr>
        <w:t xml:space="preserve">4 </w:t>
      </w:r>
      <w:r>
        <w:rPr>
          <w:rFonts w:ascii="Times New Roman" w:hAnsi="Times New Roman" w:cs="Times New Roman"/>
          <w:b/>
          <w:bCs/>
          <w:color w:val="000000"/>
          <w:sz w:val="24"/>
          <w:szCs w:val="24"/>
        </w:rPr>
        <w:t xml:space="preserve"> </w:t>
      </w:r>
    </w:p>
    <w:p>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Y </w:t>
      </w:r>
      <w:r>
        <w:rPr>
          <w:rFonts w:ascii="Times New Roman" w:hAnsi="Times New Roman" w:cs="Times New Roman"/>
          <w:color w:val="000000"/>
          <w:sz w:val="16"/>
          <w:szCs w:val="16"/>
        </w:rPr>
        <w:t xml:space="preserve"> </w:t>
      </w:r>
      <w:r>
        <w:rPr>
          <w:rFonts w:ascii="Times New Roman" w:hAnsi="Times New Roman" w:cs="Times New Roman"/>
          <w:color w:val="000000"/>
          <w:sz w:val="24"/>
          <w:szCs w:val="24"/>
        </w:rPr>
        <w:t xml:space="preserve">= 116.329,546,artinya besarnya PAD Aceh Timur yang tidak dipengaruhi oleh Pajak Penerangan Jalan, Pajak Reklame, Retribusi Daerah dan Laba BUMD sebesar Rp 116.329.546 dan ini merupakan parameter ataupun </w:t>
      </w:r>
      <w:r>
        <w:rPr>
          <w:rFonts w:ascii="Times New Roman" w:hAnsi="Times New Roman" w:cs="Times New Roman"/>
          <w:i/>
          <w:iCs/>
          <w:color w:val="000000"/>
          <w:sz w:val="24"/>
          <w:szCs w:val="24"/>
        </w:rPr>
        <w:t>intercept</w:t>
      </w:r>
      <w:r>
        <w:rPr>
          <w:rFonts w:ascii="Times New Roman" w:hAnsi="Times New Roman" w:cs="Times New Roman"/>
          <w:color w:val="000000"/>
          <w:sz w:val="24"/>
          <w:szCs w:val="24"/>
        </w:rPr>
        <w:t xml:space="preserve"> dari fungsi regresi.</w:t>
      </w:r>
    </w:p>
    <w:p>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B </w:t>
      </w:r>
      <w:r>
        <w:rPr>
          <w:rFonts w:ascii="Times New Roman" w:hAnsi="Times New Roman" w:cs="Times New Roman"/>
          <w:color w:val="000000"/>
          <w:sz w:val="16"/>
          <w:szCs w:val="16"/>
        </w:rPr>
        <w:t xml:space="preserve">1 </w:t>
      </w:r>
      <w:r>
        <w:rPr>
          <w:rFonts w:ascii="Times New Roman" w:hAnsi="Times New Roman" w:cs="Times New Roman"/>
          <w:color w:val="000000"/>
          <w:sz w:val="24"/>
          <w:szCs w:val="24"/>
        </w:rPr>
        <w:t xml:space="preserve">= 21,015,artinya apabila Pajak Penerangan Jalan naik sebesar satu satuan, maka menyebabkan PAD naik sebesar 21,015 satu-satuan dengan asumsi X </w:t>
      </w:r>
      <w:r>
        <w:rPr>
          <w:rFonts w:ascii="Times New Roman" w:hAnsi="Times New Roman" w:cs="Times New Roman"/>
          <w:color w:val="000000"/>
          <w:sz w:val="16"/>
          <w:szCs w:val="16"/>
        </w:rPr>
        <w:t>2</w:t>
      </w:r>
      <w:r>
        <w:rPr>
          <w:rFonts w:ascii="Times New Roman" w:hAnsi="Times New Roman" w:cs="Times New Roman"/>
          <w:color w:val="000000"/>
          <w:sz w:val="24"/>
          <w:szCs w:val="24"/>
        </w:rPr>
        <w:t xml:space="preserve">, X </w:t>
      </w:r>
      <w:r>
        <w:rPr>
          <w:rFonts w:ascii="Times New Roman" w:hAnsi="Times New Roman" w:cs="Times New Roman"/>
          <w:color w:val="000000"/>
          <w:sz w:val="16"/>
          <w:szCs w:val="16"/>
        </w:rPr>
        <w:t>3</w:t>
      </w:r>
      <w:r>
        <w:rPr>
          <w:rFonts w:ascii="Times New Roman" w:hAnsi="Times New Roman" w:cs="Times New Roman"/>
          <w:color w:val="000000"/>
          <w:sz w:val="24"/>
          <w:szCs w:val="24"/>
        </w:rPr>
        <w:t xml:space="preserve">, dan X </w:t>
      </w:r>
      <w:r>
        <w:rPr>
          <w:rFonts w:ascii="Times New Roman" w:hAnsi="Times New Roman" w:cs="Times New Roman"/>
          <w:color w:val="000000"/>
          <w:sz w:val="16"/>
          <w:szCs w:val="16"/>
        </w:rPr>
        <w:t>4</w:t>
      </w:r>
      <w:r>
        <w:rPr>
          <w:rFonts w:ascii="Times New Roman" w:hAnsi="Times New Roman" w:cs="Times New Roman"/>
          <w:color w:val="000000"/>
          <w:sz w:val="24"/>
          <w:szCs w:val="24"/>
        </w:rPr>
        <w:t xml:space="preserve"> tetap. </w:t>
      </w:r>
    </w:p>
    <w:p>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 B </w:t>
      </w:r>
      <w:r>
        <w:rPr>
          <w:rFonts w:ascii="Times New Roman" w:hAnsi="Times New Roman" w:cs="Times New Roman"/>
          <w:color w:val="000000"/>
          <w:sz w:val="16"/>
          <w:szCs w:val="16"/>
        </w:rPr>
        <w:t>2</w:t>
      </w:r>
      <w:r>
        <w:rPr>
          <w:rFonts w:ascii="Times New Roman" w:hAnsi="Times New Roman" w:cs="Times New Roman"/>
          <w:color w:val="000000"/>
          <w:sz w:val="24"/>
          <w:szCs w:val="24"/>
        </w:rPr>
        <w:t xml:space="preserve">=  387,821, artinya apabila Pajak Reklame Naik sebesar satu satuan maka menyebabkan PAD naik sebesar 387,821 satu satuan dengan asumsi X </w:t>
      </w:r>
      <w:r>
        <w:rPr>
          <w:rFonts w:ascii="Times New Roman" w:hAnsi="Times New Roman" w:cs="Times New Roman"/>
          <w:color w:val="000000"/>
          <w:sz w:val="16"/>
          <w:szCs w:val="16"/>
        </w:rPr>
        <w:t>1</w:t>
      </w:r>
      <w:r>
        <w:rPr>
          <w:rFonts w:ascii="Times New Roman" w:hAnsi="Times New Roman" w:cs="Times New Roman"/>
          <w:color w:val="000000"/>
          <w:sz w:val="24"/>
          <w:szCs w:val="24"/>
        </w:rPr>
        <w:t xml:space="preserve">, X </w:t>
      </w:r>
      <w:r>
        <w:rPr>
          <w:rFonts w:ascii="Times New Roman" w:hAnsi="Times New Roman" w:cs="Times New Roman"/>
          <w:color w:val="000000"/>
          <w:sz w:val="16"/>
          <w:szCs w:val="16"/>
        </w:rPr>
        <w:t>3</w:t>
      </w:r>
      <w:r>
        <w:rPr>
          <w:rFonts w:ascii="Times New Roman" w:hAnsi="Times New Roman" w:cs="Times New Roman"/>
          <w:color w:val="000000"/>
          <w:sz w:val="24"/>
          <w:szCs w:val="24"/>
        </w:rPr>
        <w:t xml:space="preserve">, dan X </w:t>
      </w:r>
      <w:r>
        <w:rPr>
          <w:rFonts w:ascii="Times New Roman" w:hAnsi="Times New Roman" w:cs="Times New Roman"/>
          <w:color w:val="000000"/>
          <w:sz w:val="16"/>
          <w:szCs w:val="16"/>
        </w:rPr>
        <w:t xml:space="preserve">4 </w:t>
      </w:r>
      <w:r>
        <w:rPr>
          <w:rFonts w:ascii="Times New Roman" w:hAnsi="Times New Roman" w:cs="Times New Roman"/>
          <w:color w:val="000000"/>
          <w:sz w:val="24"/>
          <w:szCs w:val="24"/>
        </w:rPr>
        <w:t xml:space="preserve">tetap. </w:t>
      </w:r>
    </w:p>
    <w:p>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B </w:t>
      </w:r>
      <w:r>
        <w:rPr>
          <w:rFonts w:ascii="Times New Roman" w:hAnsi="Times New Roman" w:cs="Times New Roman"/>
          <w:color w:val="000000"/>
          <w:sz w:val="16"/>
          <w:szCs w:val="16"/>
        </w:rPr>
        <w:t>3</w:t>
      </w:r>
      <w:r>
        <w:rPr>
          <w:rFonts w:ascii="Times New Roman" w:hAnsi="Times New Roman" w:cs="Times New Roman"/>
          <w:color w:val="000000"/>
          <w:sz w:val="24"/>
          <w:szCs w:val="24"/>
        </w:rPr>
        <w:t xml:space="preserve"> =  - 0,116, artinya apabila Retribusi Daerah naik sebesar satu satuan maka menyebabkan PAD turun sebesar 0,116 satu satuan dengan asumsi X </w:t>
      </w:r>
      <w:r>
        <w:rPr>
          <w:rFonts w:ascii="Times New Roman" w:hAnsi="Times New Roman" w:cs="Times New Roman"/>
          <w:color w:val="000000"/>
          <w:sz w:val="16"/>
          <w:szCs w:val="16"/>
        </w:rPr>
        <w:t>1</w:t>
      </w:r>
      <w:r>
        <w:rPr>
          <w:rFonts w:ascii="Times New Roman" w:hAnsi="Times New Roman" w:cs="Times New Roman"/>
          <w:color w:val="000000"/>
          <w:sz w:val="24"/>
          <w:szCs w:val="24"/>
        </w:rPr>
        <w:t xml:space="preserve">, X </w:t>
      </w:r>
      <w:r>
        <w:rPr>
          <w:rFonts w:ascii="Times New Roman" w:hAnsi="Times New Roman" w:cs="Times New Roman"/>
          <w:color w:val="000000"/>
          <w:sz w:val="16"/>
          <w:szCs w:val="16"/>
        </w:rPr>
        <w:t>2</w:t>
      </w:r>
      <w:r>
        <w:rPr>
          <w:rFonts w:ascii="Times New Roman" w:hAnsi="Times New Roman" w:cs="Times New Roman"/>
          <w:color w:val="000000"/>
          <w:sz w:val="24"/>
          <w:szCs w:val="24"/>
        </w:rPr>
        <w:t xml:space="preserve">, dan X </w:t>
      </w:r>
      <w:r>
        <w:rPr>
          <w:rFonts w:ascii="Times New Roman" w:hAnsi="Times New Roman" w:cs="Times New Roman"/>
          <w:color w:val="000000"/>
          <w:sz w:val="16"/>
          <w:szCs w:val="16"/>
        </w:rPr>
        <w:t xml:space="preserve">4 </w:t>
      </w:r>
      <w:r>
        <w:rPr>
          <w:rFonts w:ascii="Times New Roman" w:hAnsi="Times New Roman" w:cs="Times New Roman"/>
          <w:color w:val="000000"/>
          <w:sz w:val="24"/>
          <w:szCs w:val="24"/>
        </w:rPr>
        <w:t xml:space="preserve">tetap. Ini bertentangan dengan teori. Seharusnya apabila Retribusi Daerah naik maka dapat meningkatkan PAD.  Dalam penelitian ini menurunkan PAD sedikit, artinya data retribusi daerah tidak terdistribusi secara normal, maka hasil regresi untuk koefisiennya sedikit negatif. </w:t>
      </w:r>
    </w:p>
    <w:p>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 </w:t>
      </w:r>
      <w:r>
        <w:rPr>
          <w:rFonts w:ascii="Times New Roman" w:hAnsi="Times New Roman" w:cs="Times New Roman"/>
          <w:color w:val="000000"/>
          <w:sz w:val="16"/>
          <w:szCs w:val="16"/>
        </w:rPr>
        <w:t>4</w:t>
      </w:r>
      <w:r>
        <w:rPr>
          <w:rFonts w:ascii="Times New Roman" w:hAnsi="Times New Roman" w:cs="Times New Roman"/>
          <w:color w:val="000000"/>
          <w:sz w:val="24"/>
          <w:szCs w:val="24"/>
        </w:rPr>
        <w:t xml:space="preserve"> =  18, 861, artinya apabila Laba BUMD naik sebesar satu satuan maka dapat meningkatkan PAD sebesar 18, 861 satu satuan dengan asumsi X </w:t>
      </w:r>
      <w:r>
        <w:rPr>
          <w:rFonts w:ascii="Times New Roman" w:hAnsi="Times New Roman" w:cs="Times New Roman"/>
          <w:color w:val="000000"/>
          <w:sz w:val="16"/>
          <w:szCs w:val="16"/>
        </w:rPr>
        <w:t>1</w:t>
      </w:r>
      <w:r>
        <w:rPr>
          <w:rFonts w:ascii="Times New Roman" w:hAnsi="Times New Roman" w:cs="Times New Roman"/>
          <w:color w:val="000000"/>
          <w:sz w:val="24"/>
          <w:szCs w:val="24"/>
        </w:rPr>
        <w:t xml:space="preserve">, X </w:t>
      </w:r>
      <w:r>
        <w:rPr>
          <w:rFonts w:ascii="Times New Roman" w:hAnsi="Times New Roman" w:cs="Times New Roman"/>
          <w:color w:val="000000"/>
          <w:sz w:val="16"/>
          <w:szCs w:val="16"/>
        </w:rPr>
        <w:t>2</w:t>
      </w:r>
      <w:r>
        <w:rPr>
          <w:rFonts w:ascii="Times New Roman" w:hAnsi="Times New Roman" w:cs="Times New Roman"/>
          <w:color w:val="000000"/>
          <w:sz w:val="24"/>
          <w:szCs w:val="24"/>
        </w:rPr>
        <w:t xml:space="preserve">, dan X </w:t>
      </w:r>
      <w:r>
        <w:rPr>
          <w:rFonts w:ascii="Times New Roman" w:hAnsi="Times New Roman" w:cs="Times New Roman"/>
          <w:color w:val="000000"/>
          <w:sz w:val="16"/>
          <w:szCs w:val="16"/>
        </w:rPr>
        <w:t xml:space="preserve">3 </w:t>
      </w:r>
      <w:r>
        <w:rPr>
          <w:rFonts w:ascii="Times New Roman" w:hAnsi="Times New Roman" w:cs="Times New Roman"/>
          <w:color w:val="000000"/>
          <w:sz w:val="24"/>
          <w:szCs w:val="24"/>
        </w:rPr>
        <w:t xml:space="preserve">tetap. Secara keseluruhan X </w:t>
      </w:r>
      <w:r>
        <w:rPr>
          <w:rFonts w:ascii="Times New Roman" w:hAnsi="Times New Roman" w:cs="Times New Roman"/>
          <w:color w:val="000000"/>
          <w:sz w:val="16"/>
          <w:szCs w:val="16"/>
        </w:rPr>
        <w:t>1</w:t>
      </w:r>
      <w:r>
        <w:rPr>
          <w:rFonts w:ascii="Times New Roman" w:hAnsi="Times New Roman" w:cs="Times New Roman"/>
          <w:color w:val="000000"/>
          <w:sz w:val="24"/>
          <w:szCs w:val="24"/>
        </w:rPr>
        <w:t xml:space="preserve">,X </w:t>
      </w:r>
      <w:r>
        <w:rPr>
          <w:rFonts w:ascii="Times New Roman" w:hAnsi="Times New Roman" w:cs="Times New Roman"/>
          <w:color w:val="000000"/>
          <w:sz w:val="16"/>
          <w:szCs w:val="16"/>
        </w:rPr>
        <w:t>2</w:t>
      </w:r>
      <w:r>
        <w:rPr>
          <w:rFonts w:ascii="Times New Roman" w:hAnsi="Times New Roman" w:cs="Times New Roman"/>
          <w:color w:val="000000"/>
          <w:sz w:val="24"/>
          <w:szCs w:val="24"/>
        </w:rPr>
        <w:t xml:space="preserve">,X </w:t>
      </w:r>
      <w:r>
        <w:rPr>
          <w:rFonts w:ascii="Times New Roman" w:hAnsi="Times New Roman" w:cs="Times New Roman"/>
          <w:color w:val="000000"/>
          <w:sz w:val="16"/>
          <w:szCs w:val="16"/>
        </w:rPr>
        <w:t>3</w:t>
      </w:r>
      <w:r>
        <w:rPr>
          <w:rFonts w:ascii="Times New Roman" w:hAnsi="Times New Roman" w:cs="Times New Roman"/>
          <w:color w:val="000000"/>
          <w:sz w:val="24"/>
          <w:szCs w:val="24"/>
        </w:rPr>
        <w:t xml:space="preserve">, dan X </w:t>
      </w:r>
      <w:r>
        <w:rPr>
          <w:rFonts w:ascii="Times New Roman" w:hAnsi="Times New Roman" w:cs="Times New Roman"/>
          <w:color w:val="000000"/>
          <w:sz w:val="16"/>
          <w:szCs w:val="16"/>
        </w:rPr>
        <w:t>4</w:t>
      </w:r>
      <w:r>
        <w:rPr>
          <w:rFonts w:ascii="Times New Roman" w:hAnsi="Times New Roman" w:cs="Times New Roman"/>
          <w:color w:val="000000"/>
          <w:sz w:val="24"/>
          <w:szCs w:val="24"/>
        </w:rPr>
        <w:t xml:space="preserve"> berpengaruh positif dan signifikan terhadap Y, artinya Pajak Penerangan Jalan, Pajak Reklame, Retribusi Daerah dan Laba BUMD berpengaruh positif dan signifikan terhadap PAD Kabupaten Aceh Timur selama tahun 2007 sampai 2019. </w:t>
      </w:r>
    </w:p>
    <w:p>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Pembuktian secara parsial terhadap variabel Pajak Penerangan Jalan (X </w:t>
      </w:r>
      <w:r>
        <w:rPr>
          <w:rFonts w:ascii="Times New Roman" w:hAnsi="Times New Roman" w:cs="Times New Roman"/>
          <w:color w:val="000000"/>
          <w:sz w:val="16"/>
          <w:szCs w:val="16"/>
        </w:rPr>
        <w:t xml:space="preserve">1 </w:t>
      </w:r>
      <w:r>
        <w:rPr>
          <w:rFonts w:ascii="Times New Roman" w:hAnsi="Times New Roman" w:cs="Times New Roman"/>
          <w:color w:val="000000"/>
          <w:sz w:val="24"/>
          <w:szCs w:val="24"/>
        </w:rPr>
        <w:t xml:space="preserve">dimana t test = 2,63 dan t tabel 0,30, maka t test &gt; t tabel, sehingga: H </w:t>
      </w:r>
      <w:r>
        <w:rPr>
          <w:rFonts w:ascii="Times New Roman" w:hAnsi="Times New Roman" w:cs="Times New Roman"/>
          <w:color w:val="000000"/>
          <w:sz w:val="16"/>
          <w:szCs w:val="16"/>
        </w:rPr>
        <w:t>0</w:t>
      </w:r>
      <w:r>
        <w:rPr>
          <w:rFonts w:ascii="Times New Roman" w:hAnsi="Times New Roman" w:cs="Times New Roman"/>
          <w:color w:val="000000"/>
          <w:sz w:val="24"/>
          <w:szCs w:val="24"/>
        </w:rPr>
        <w:t xml:space="preserve">: ß </w:t>
      </w:r>
      <w:r>
        <w:rPr>
          <w:rFonts w:ascii="Times New Roman" w:hAnsi="Times New Roman" w:cs="Times New Roman"/>
          <w:color w:val="000000"/>
          <w:sz w:val="16"/>
          <w:szCs w:val="16"/>
        </w:rPr>
        <w:t>1</w:t>
      </w:r>
      <w:r>
        <w:rPr>
          <w:rFonts w:ascii="Times New Roman" w:hAnsi="Times New Roman" w:cs="Times New Roman"/>
          <w:color w:val="000000"/>
          <w:sz w:val="24"/>
          <w:szCs w:val="24"/>
        </w:rPr>
        <w:t xml:space="preserve">= 0 ditolak, H </w:t>
      </w:r>
      <w:r>
        <w:rPr>
          <w:rFonts w:ascii="Times New Roman" w:hAnsi="Times New Roman" w:cs="Times New Roman"/>
          <w:color w:val="000000"/>
          <w:sz w:val="16"/>
          <w:szCs w:val="16"/>
        </w:rPr>
        <w:t>i</w:t>
      </w:r>
      <w:r>
        <w:rPr>
          <w:rFonts w:ascii="Times New Roman" w:hAnsi="Times New Roman" w:cs="Times New Roman"/>
          <w:color w:val="000000"/>
          <w:sz w:val="24"/>
          <w:szCs w:val="24"/>
        </w:rPr>
        <w:t xml:space="preserve">: ß </w:t>
      </w:r>
      <w:r>
        <w:rPr>
          <w:rFonts w:ascii="Times New Roman" w:hAnsi="Times New Roman" w:cs="Times New Roman"/>
          <w:color w:val="000000"/>
          <w:sz w:val="16"/>
          <w:szCs w:val="16"/>
        </w:rPr>
        <w:t>1</w:t>
      </w:r>
      <w:r>
        <w:rPr>
          <w:rFonts w:ascii="Times New Roman" w:hAnsi="Times New Roman" w:cs="Times New Roman"/>
          <w:color w:val="000000"/>
          <w:sz w:val="24"/>
          <w:szCs w:val="24"/>
        </w:rPr>
        <w:t xml:space="preserve"> ≠ 0 diterima,  Artinya Pajak Penerangan Jalan memberi pengaruh terhadap PAD Aceh </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Timur. Dalam hal ini berpengaruh positif dan signifikan maka hipotesis diterima.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Pembuktian secara parsial terhadap Pajak Reklame dimana t test = 2,630 sedangkan t tabel = 0,28 maka t test &gt; t tabel, sehingga: H </w:t>
      </w:r>
      <w:r>
        <w:rPr>
          <w:rFonts w:ascii="Times New Roman" w:hAnsi="Times New Roman" w:cs="Times New Roman"/>
          <w:color w:val="000000"/>
          <w:sz w:val="16"/>
          <w:szCs w:val="16"/>
        </w:rPr>
        <w:t>0</w:t>
      </w:r>
      <w:r>
        <w:rPr>
          <w:rFonts w:ascii="Times New Roman" w:hAnsi="Times New Roman" w:cs="Times New Roman"/>
          <w:color w:val="000000"/>
          <w:sz w:val="24"/>
          <w:szCs w:val="24"/>
        </w:rPr>
        <w:t xml:space="preserve"> : ß </w:t>
      </w:r>
      <w:r>
        <w:rPr>
          <w:rFonts w:ascii="Times New Roman" w:hAnsi="Times New Roman" w:cs="Times New Roman"/>
          <w:color w:val="000000"/>
          <w:sz w:val="16"/>
          <w:szCs w:val="16"/>
        </w:rPr>
        <w:t>2</w:t>
      </w:r>
      <w:r>
        <w:rPr>
          <w:rFonts w:ascii="Times New Roman" w:hAnsi="Times New Roman" w:cs="Times New Roman"/>
          <w:color w:val="000000"/>
          <w:sz w:val="24"/>
          <w:szCs w:val="24"/>
        </w:rPr>
        <w:t xml:space="preserve">= 0 ditolak,  H </w:t>
      </w:r>
      <w:r>
        <w:rPr>
          <w:rFonts w:ascii="Times New Roman" w:hAnsi="Times New Roman" w:cs="Times New Roman"/>
          <w:color w:val="000000"/>
          <w:sz w:val="16"/>
          <w:szCs w:val="16"/>
        </w:rPr>
        <w:t>i</w:t>
      </w:r>
      <w:r>
        <w:rPr>
          <w:rFonts w:ascii="Times New Roman" w:hAnsi="Times New Roman" w:cs="Times New Roman"/>
          <w:color w:val="000000"/>
          <w:sz w:val="24"/>
          <w:szCs w:val="24"/>
        </w:rPr>
        <w:t xml:space="preserve">: ß </w:t>
      </w:r>
      <w:r>
        <w:rPr>
          <w:rFonts w:ascii="Times New Roman" w:hAnsi="Times New Roman" w:cs="Times New Roman"/>
          <w:color w:val="000000"/>
          <w:sz w:val="16"/>
          <w:szCs w:val="16"/>
        </w:rPr>
        <w:t xml:space="preserve">2 </w:t>
      </w:r>
      <w:r>
        <w:rPr>
          <w:rFonts w:ascii="Times New Roman" w:hAnsi="Times New Roman" w:cs="Times New Roman"/>
          <w:color w:val="000000"/>
          <w:sz w:val="24"/>
          <w:szCs w:val="24"/>
        </w:rPr>
        <w:t xml:space="preserve">≠ 0 diterima, Artinya Pajak Reklame memberi pengaruh terhadap PAD Aceh Timur. Dalam hal ini berpengaruh positif dan signifikan, maka hipotesis diterima. Pembuktian secara parsial terhadap variabel Retribusi Daerah (X </w:t>
      </w:r>
      <w:r>
        <w:rPr>
          <w:rFonts w:ascii="Times New Roman" w:hAnsi="Times New Roman" w:cs="Times New Roman"/>
          <w:color w:val="000000"/>
          <w:sz w:val="16"/>
          <w:szCs w:val="16"/>
        </w:rPr>
        <w:t>3</w:t>
      </w:r>
      <w:r>
        <w:rPr>
          <w:rFonts w:ascii="Times New Roman" w:hAnsi="Times New Roman" w:cs="Times New Roman"/>
          <w:color w:val="000000"/>
          <w:sz w:val="24"/>
          <w:szCs w:val="24"/>
        </w:rPr>
        <w:t xml:space="preserve">) yaitu dimana t test = -0,186 sedangkan t tabel = 0,857, jadi t test &lt; t tabel, maka: H </w:t>
      </w:r>
      <w:r>
        <w:rPr>
          <w:rFonts w:ascii="Times New Roman" w:hAnsi="Times New Roman" w:cs="Times New Roman"/>
          <w:color w:val="000000"/>
          <w:sz w:val="16"/>
          <w:szCs w:val="16"/>
        </w:rPr>
        <w:t>0</w:t>
      </w:r>
      <w:r>
        <w:rPr>
          <w:rFonts w:ascii="Times New Roman" w:hAnsi="Times New Roman" w:cs="Times New Roman"/>
          <w:color w:val="000000"/>
          <w:sz w:val="24"/>
          <w:szCs w:val="24"/>
        </w:rPr>
        <w:t xml:space="preserve"> : ß </w:t>
      </w:r>
      <w:r>
        <w:rPr>
          <w:rFonts w:ascii="Times New Roman" w:hAnsi="Times New Roman" w:cs="Times New Roman"/>
          <w:color w:val="000000"/>
          <w:sz w:val="16"/>
          <w:szCs w:val="16"/>
        </w:rPr>
        <w:t>2</w:t>
      </w:r>
      <w:r>
        <w:rPr>
          <w:rFonts w:ascii="Times New Roman" w:hAnsi="Times New Roman" w:cs="Times New Roman"/>
          <w:color w:val="000000"/>
          <w:sz w:val="24"/>
          <w:szCs w:val="24"/>
        </w:rPr>
        <w:t xml:space="preserve"> = 0, diterima artinya retribusi daerah tidak memberi pengaruh terhadap PAD di Aceh Timur dan H </w:t>
      </w:r>
      <w:r>
        <w:rPr>
          <w:rFonts w:ascii="Times New Roman" w:hAnsi="Times New Roman" w:cs="Times New Roman"/>
          <w:color w:val="000000"/>
          <w:sz w:val="16"/>
          <w:szCs w:val="16"/>
        </w:rPr>
        <w:t>i</w:t>
      </w:r>
      <w:r>
        <w:rPr>
          <w:rFonts w:ascii="Times New Roman" w:hAnsi="Times New Roman" w:cs="Times New Roman"/>
          <w:color w:val="000000"/>
          <w:sz w:val="24"/>
          <w:szCs w:val="24"/>
        </w:rPr>
        <w:t xml:space="preserve"> : ß3 </w:t>
      </w:r>
      <w:r>
        <w:rPr>
          <w:rFonts w:ascii="Times New Roman" w:hAnsi="Times New Roman" w:cs="Times New Roman"/>
          <w:color w:val="000000"/>
          <w:sz w:val="16"/>
          <w:szCs w:val="16"/>
        </w:rPr>
        <w:t xml:space="preserve">2 </w:t>
      </w:r>
      <w:r>
        <w:rPr>
          <w:rFonts w:ascii="Times New Roman" w:hAnsi="Times New Roman" w:cs="Times New Roman"/>
          <w:color w:val="000000"/>
          <w:sz w:val="24"/>
          <w:szCs w:val="24"/>
        </w:rPr>
        <w:t xml:space="preserve">≠ 0 ditolak. Ini bertentangan dengan teori karena seharusnya Retribusi Daerah berpengaruh positif terhadap PAD. Hal ini disebabkan karena distribusi data terhadap retribusi daerah tidak normal, sehingga akan mengganggu fungsi regresi yang diperlihatkan oleh koefisien B </w:t>
      </w:r>
      <w:r>
        <w:rPr>
          <w:rFonts w:ascii="Times New Roman" w:hAnsi="Times New Roman" w:cs="Times New Roman"/>
          <w:color w:val="000000"/>
          <w:sz w:val="16"/>
          <w:szCs w:val="16"/>
        </w:rPr>
        <w:t>3</w:t>
      </w:r>
      <w:r>
        <w:rPr>
          <w:rFonts w:ascii="Times New Roman" w:hAnsi="Times New Roman" w:cs="Times New Roman"/>
          <w:color w:val="000000"/>
          <w:sz w:val="24"/>
          <w:szCs w:val="24"/>
        </w:rPr>
        <w:t xml:space="preserve"> sedikit minus. Pembuktian secara parsial terhadap variabel Laba BUMD terhadap PAD dimana t test = 0,583 dan t tabel = 0,576 maka t test&gt; t tabel sehingga: H </w:t>
      </w:r>
      <w:r>
        <w:rPr>
          <w:rFonts w:ascii="Times New Roman" w:hAnsi="Times New Roman" w:cs="Times New Roman"/>
          <w:color w:val="000000"/>
          <w:sz w:val="16"/>
          <w:szCs w:val="16"/>
        </w:rPr>
        <w:t>0</w:t>
      </w:r>
      <w:r>
        <w:rPr>
          <w:rFonts w:ascii="Times New Roman" w:hAnsi="Times New Roman" w:cs="Times New Roman"/>
          <w:color w:val="000000"/>
          <w:sz w:val="24"/>
          <w:szCs w:val="24"/>
        </w:rPr>
        <w:t xml:space="preserve">: ß </w:t>
      </w:r>
      <w:r>
        <w:rPr>
          <w:rFonts w:ascii="Times New Roman" w:hAnsi="Times New Roman" w:cs="Times New Roman"/>
          <w:color w:val="000000"/>
          <w:sz w:val="16"/>
          <w:szCs w:val="16"/>
        </w:rPr>
        <w:t>4</w:t>
      </w:r>
      <w:r>
        <w:rPr>
          <w:rFonts w:ascii="Times New Roman" w:hAnsi="Times New Roman" w:cs="Times New Roman"/>
          <w:color w:val="000000"/>
          <w:sz w:val="24"/>
          <w:szCs w:val="24"/>
        </w:rPr>
        <w:t xml:space="preserve"> = 0 ditolak, dan  H </w:t>
      </w:r>
      <w:r>
        <w:rPr>
          <w:rFonts w:ascii="Times New Roman" w:hAnsi="Times New Roman" w:cs="Times New Roman"/>
          <w:color w:val="000000"/>
          <w:sz w:val="16"/>
          <w:szCs w:val="16"/>
        </w:rPr>
        <w:t>i</w:t>
      </w:r>
      <w:r>
        <w:rPr>
          <w:rFonts w:ascii="Times New Roman" w:hAnsi="Times New Roman" w:cs="Times New Roman"/>
          <w:color w:val="000000"/>
          <w:sz w:val="24"/>
          <w:szCs w:val="24"/>
        </w:rPr>
        <w:t xml:space="preserve">: ß </w:t>
      </w:r>
      <w:r>
        <w:rPr>
          <w:rFonts w:ascii="Times New Roman" w:hAnsi="Times New Roman" w:cs="Times New Roman"/>
          <w:color w:val="000000"/>
          <w:sz w:val="16"/>
          <w:szCs w:val="16"/>
        </w:rPr>
        <w:t xml:space="preserve">4 </w:t>
      </w:r>
      <w:r>
        <w:rPr>
          <w:rFonts w:ascii="Times New Roman" w:hAnsi="Times New Roman" w:cs="Times New Roman"/>
          <w:color w:val="000000"/>
          <w:sz w:val="24"/>
          <w:szCs w:val="24"/>
        </w:rPr>
        <w:t xml:space="preserve">≠ 0 diterima, artinya Laba BUMDmemberi pengaruh terhadap PAD Aceh Timur. Dalam hal ini berpengaruh positif dan signifikan terhadap PAD, maka hipotesis diterima. </w:t>
      </w:r>
    </w:p>
    <w:p>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Pembuktian secara simultan. Pada tingkat keyakinan 95%, dimana nilai f test = 30,28 sedangkan nilai dari F tabel = 3,45. Dalam penelitian ini F test &gt; f tabel, artinya independen variabel dapat memberi pengaruh terhadap dependent variabelnya. Dalam hal ini secara simultan Pajak Penerangan Jalan, Pajak Reklame, Retribusi Daerah dan Laba BUMD memberi pengaruh positif dan signifikan terhadap PAD di Kabupaten Aceh Timur. </w:t>
      </w:r>
    </w:p>
    <w:p>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Pengujian koefisien determinasi (R</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Dalam hal ini </w:t>
      </w:r>
      <w:r>
        <w:rPr>
          <w:rFonts w:ascii="Times New Roman" w:hAnsi="Times New Roman" w:cs="Times New Roman"/>
          <w:color w:val="000000"/>
          <w:sz w:val="26"/>
          <w:szCs w:val="26"/>
        </w:rPr>
        <w:t>R</w:t>
      </w:r>
      <w:r>
        <w:rPr>
          <w:rFonts w:ascii="Times New Roman" w:hAnsi="Times New Roman" w:cs="Times New Roman"/>
          <w:color w:val="000000"/>
          <w:sz w:val="26"/>
          <w:szCs w:val="26"/>
          <w:vertAlign w:val="superscript"/>
        </w:rPr>
        <w:t>2</w:t>
      </w:r>
      <w:r>
        <w:rPr>
          <w:rFonts w:ascii="Times New Roman" w:hAnsi="Times New Roman" w:cs="Times New Roman"/>
          <w:color w:val="000000"/>
          <w:sz w:val="24"/>
          <w:szCs w:val="24"/>
        </w:rPr>
        <w:t xml:space="preserve"> = 0,938 artinya Pajak Penerangan Jalan, Pajak Reklame, Retribusi Daerah dan Laba BUMD dapat mempengaruhi PAD sebesar 93,8% dan sisanya 6,2% dipengaruhi oleh variabel lain diluar penelitian ini.</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 </w:t>
      </w:r>
    </w:p>
    <w:p>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KESIMPULAN</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erdasarkan hasil analisis data dan pembahasan maka,  kesimpulan dalam penelitian ini adalah: Secara parsial Pajak Penerangan Jalan berpengaruh signifikan terhadap Pendapatan Asli Daerah (PAD) Kabupaten Aceh Timur. Pajak Reklame berpengaruh signifikan terhadap Pendapatan Asli Daerah (PAD) Kabupaten Aceh Timur. Laba BUMD berpengaruh signifikan terhadap Pendapatan Asli Daerah (PAD) Kabupaten Aceh Timur. sedangkan retribusi daerah nyaris tidak memberi pengaruh yang nyata terhadap Pendapatan Asli Daerah (PAD) di Kabupaten Aceh Timur. </w:t>
      </w:r>
    </w:p>
    <w:p>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Secara simultan Pajak Penerangan Jalan, Pajak Reklame, Retribusi Daerah dan Laba BUMD berpengaruh signifikan terhadap Pendapatan Asli Daerah (PAD) Kabupaten Aceh Timur. </w:t>
      </w:r>
    </w:p>
    <w:p>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Nilai korelasi (R) adalah 0,968. Nilai R Square sebesar 93,8% menunjukkan bahwa Pajak Penerangan Jalan, Pajak Reklame, Retribusi Daerah dan Laba BUMD terhadap Pendapatan Asli Daerah Kabupaten Aceh Timur sebesar 93,8% sedangkan sisanya 6,2% dipengaruhi oleh variabel lain di luar penelitian ini. </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 </w:t>
      </w:r>
    </w:p>
    <w:p>
      <w:pPr>
        <w:autoSpaceDE w:val="0"/>
        <w:autoSpaceDN w:val="0"/>
        <w:adjustRightInd w:val="0"/>
        <w:spacing w:after="0" w:line="240" w:lineRule="auto"/>
        <w:jc w:val="both"/>
        <w:rPr>
          <w:rFonts w:ascii="Times New Roman" w:hAnsi="Times New Roman" w:cs="Times New Roman"/>
          <w:b/>
          <w:sz w:val="24"/>
          <w:szCs w:val="24"/>
          <w:lang w:val="zh-CN"/>
        </w:rPr>
      </w:pPr>
      <w:r>
        <w:rPr>
          <w:rFonts w:ascii="Times New Roman" w:hAnsi="Times New Roman" w:cs="Times New Roman"/>
          <w:b/>
          <w:sz w:val="24"/>
          <w:szCs w:val="24"/>
          <w:lang w:val="zh-CN"/>
        </w:rPr>
        <w:t>REFERENSI</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Erlina, 2008. </w:t>
      </w:r>
      <w:r>
        <w:rPr>
          <w:rFonts w:ascii="Times New Roman" w:hAnsi="Times New Roman" w:cs="Times New Roman"/>
          <w:bCs/>
          <w:color w:val="000000"/>
          <w:sz w:val="24"/>
          <w:szCs w:val="24"/>
        </w:rPr>
        <w:t>Pengelolaan Dan Akuntansi Keuangan Daerah</w:t>
      </w:r>
      <w:r>
        <w:rPr>
          <w:rFonts w:ascii="Times New Roman" w:hAnsi="Times New Roman" w:cs="Times New Roman"/>
          <w:color w:val="000000"/>
          <w:sz w:val="24"/>
          <w:szCs w:val="24"/>
        </w:rPr>
        <w:t xml:space="preserve">. Jakarta: Salemba Empat.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Firdaus, 2016. </w:t>
      </w:r>
      <w:r>
        <w:rPr>
          <w:rFonts w:ascii="Times New Roman" w:hAnsi="Times New Roman" w:cs="Times New Roman"/>
          <w:bCs/>
          <w:color w:val="000000"/>
          <w:sz w:val="24"/>
          <w:szCs w:val="24"/>
        </w:rPr>
        <w:t>Pengaruh Penerimaan Pajak Daerah Retribusi Daerah Dan Laba BUMD Terhadap Pendapatan Asli Daerah Aceh Utara. Darussalam Banda Aceh</w:t>
      </w:r>
      <w:r>
        <w:rPr>
          <w:rFonts w:ascii="Times New Roman" w:hAnsi="Times New Roman" w:cs="Times New Roman"/>
          <w:color w:val="000000"/>
          <w:sz w:val="24"/>
          <w:szCs w:val="24"/>
        </w:rPr>
        <w:t xml:space="preserve">, BPFE. Unsyiah.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Helvianti (2009) kontribusi penerimaan pajak reklame dan penerangan jalan terhadap pendapatan asli daerah kabupaten rokan hilir- hilir tahun 2004-2005.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Hilmi, Abdul. 2007</w:t>
      </w:r>
      <w:r>
        <w:rPr>
          <w:rFonts w:ascii="Times New Roman" w:hAnsi="Times New Roman" w:cs="Times New Roman"/>
          <w:bCs/>
          <w:color w:val="000000"/>
          <w:sz w:val="24"/>
          <w:szCs w:val="24"/>
        </w:rPr>
        <w:t>. Akuntansi Keuangan Daerah, edisi ketiga</w:t>
      </w:r>
      <w:r>
        <w:rPr>
          <w:rFonts w:ascii="Times New Roman" w:hAnsi="Times New Roman" w:cs="Times New Roman"/>
          <w:color w:val="000000"/>
          <w:sz w:val="24"/>
          <w:szCs w:val="24"/>
        </w:rPr>
        <w:t xml:space="preserve">. Jakarta: Erlangga.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Juraida, Ida. 2011</w:t>
      </w:r>
      <w:r>
        <w:rPr>
          <w:rFonts w:ascii="Times New Roman" w:hAnsi="Times New Roman" w:cs="Times New Roman"/>
          <w:i/>
          <w:iCs/>
          <w:color w:val="000000"/>
          <w:sz w:val="24"/>
          <w:szCs w:val="24"/>
        </w:rPr>
        <w:t xml:space="preserve">. </w:t>
      </w:r>
      <w:r>
        <w:rPr>
          <w:rFonts w:ascii="Times New Roman" w:hAnsi="Times New Roman" w:cs="Times New Roman"/>
          <w:bCs/>
          <w:color w:val="000000"/>
          <w:sz w:val="24"/>
          <w:szCs w:val="24"/>
        </w:rPr>
        <w:t>Pajak Pusat Dan Pajak Daerah</w:t>
      </w:r>
      <w:r>
        <w:rPr>
          <w:rFonts w:ascii="Times New Roman" w:hAnsi="Times New Roman" w:cs="Times New Roman"/>
          <w:color w:val="000000"/>
          <w:sz w:val="24"/>
          <w:szCs w:val="24"/>
        </w:rPr>
        <w:t xml:space="preserve">, Bogor: Graha Indonesia.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Kurniawan, panca dan agus purwanto, 2004 ”</w:t>
      </w:r>
      <w:r>
        <w:rPr>
          <w:rFonts w:ascii="Times New Roman" w:hAnsi="Times New Roman" w:cs="Times New Roman"/>
          <w:bCs/>
          <w:color w:val="000000"/>
          <w:sz w:val="24"/>
          <w:szCs w:val="24"/>
        </w:rPr>
        <w:t>pajak daerah dan retribusi daerah di Indonesia</w:t>
      </w:r>
      <w:r>
        <w:rPr>
          <w:rFonts w:ascii="Times New Roman" w:hAnsi="Times New Roman" w:cs="Times New Roman"/>
          <w:color w:val="000000"/>
          <w:sz w:val="24"/>
          <w:szCs w:val="24"/>
        </w:rPr>
        <w:t xml:space="preserve">”banyu media publikasi, malang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Mardiasmo. 2006. </w:t>
      </w:r>
      <w:r>
        <w:rPr>
          <w:rFonts w:ascii="Times New Roman" w:hAnsi="Times New Roman" w:cs="Times New Roman"/>
          <w:bCs/>
          <w:i/>
          <w:iCs/>
          <w:color w:val="000000"/>
          <w:sz w:val="24"/>
          <w:szCs w:val="24"/>
        </w:rPr>
        <w:t>Otonomi Dan Manajemen Keuangan Daerah</w:t>
      </w:r>
      <w:r>
        <w:rPr>
          <w:rFonts w:ascii="Times New Roman" w:hAnsi="Times New Roman" w:cs="Times New Roman"/>
          <w:color w:val="000000"/>
          <w:sz w:val="24"/>
          <w:szCs w:val="24"/>
        </w:rPr>
        <w:t>. Yogyakarta: Andi.</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Peraturan daerah (qanun) NO.16 tahun2008 tentang pajak penerangan jalan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Peraturan pemerintah NO.55 tahun2016 tentang ketentuan pemungutan pajak daerah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Peraturan pemerintah  NO.65.tahun , 2001 tentang pajak daerah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Peraturan Pemerintah Nomor 58 tahun 2005 tentang Pengelolaan Keuangan Daerah.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Peraturan daerah kota NO.16 tahun 2008 pasal 1 ayat  10  Qanun (peraturan daerah ) kabupaten aceh timur No.7 tahun, 2008  </w:t>
      </w:r>
    </w:p>
    <w:p>
      <w:p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color w:val="000000"/>
          <w:sz w:val="24"/>
          <w:szCs w:val="24"/>
        </w:rPr>
        <w:t>Riawan (2014) kontribusi pajak hotel, pajak restoran dan pajak reklame terhadap pendapatan daerah kabupaten kulonprogo tahun 2001-2013.</w:t>
      </w:r>
    </w:p>
    <w:p>
      <w:p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color w:val="000000"/>
          <w:sz w:val="24"/>
          <w:szCs w:val="24"/>
        </w:rPr>
        <w:t xml:space="preserve">Saragih. 2007. </w:t>
      </w:r>
      <w:r>
        <w:rPr>
          <w:rFonts w:ascii="Times New Roman" w:hAnsi="Times New Roman" w:cs="Times New Roman"/>
          <w:iCs/>
          <w:color w:val="000000"/>
          <w:sz w:val="24"/>
          <w:szCs w:val="24"/>
        </w:rPr>
        <w:t xml:space="preserve">Desentralisasi </w:t>
      </w:r>
      <w:r>
        <w:rPr>
          <w:rFonts w:ascii="Times New Roman" w:hAnsi="Times New Roman" w:cs="Times New Roman"/>
          <w:bCs/>
          <w:color w:val="000000"/>
          <w:sz w:val="24"/>
          <w:szCs w:val="24"/>
        </w:rPr>
        <w:t>Fiskal Dan Keuangan Daerah Dalam Otonomi</w:t>
      </w:r>
      <w:r>
        <w:rPr>
          <w:rFonts w:ascii="Times New Roman" w:hAnsi="Times New Roman" w:cs="Times New Roman"/>
          <w:color w:val="000000"/>
          <w:sz w:val="24"/>
          <w:szCs w:val="24"/>
        </w:rPr>
        <w:t xml:space="preserve">, Jakarta: Graha Indonesia.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Sunyoto, 2010. </w:t>
      </w:r>
      <w:r>
        <w:rPr>
          <w:rFonts w:ascii="Times New Roman" w:hAnsi="Times New Roman" w:cs="Times New Roman"/>
          <w:iCs/>
          <w:color w:val="000000"/>
          <w:sz w:val="24"/>
          <w:szCs w:val="24"/>
        </w:rPr>
        <w:t>Uji Chi Kuadrat Regresi Untuk Penelitian</w:t>
      </w:r>
      <w:r>
        <w:rPr>
          <w:rFonts w:ascii="Times New Roman" w:hAnsi="Times New Roman" w:cs="Times New Roman"/>
          <w:color w:val="000000"/>
          <w:sz w:val="24"/>
          <w:szCs w:val="24"/>
        </w:rPr>
        <w:t>, Yogyakarta: Graha ilmu.</w:t>
      </w:r>
    </w:p>
    <w:p>
      <w:p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color w:val="000000"/>
          <w:sz w:val="24"/>
          <w:szCs w:val="24"/>
        </w:rPr>
        <w:t xml:space="preserve">Undang-undang Nomor 33 tahun 2004 tentang Perimbangan Keuangan Antara Pusat Dan Daerah.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UU NO.34 Tahun 2000 tentang perubahan UU NO.18 tahun 1997.  UU NOMOR 28 tahun, 2009 tentang pajak dan retribusi daerah  </w:t>
      </w:r>
    </w:p>
    <w:p>
      <w:pPr>
        <w:autoSpaceDE w:val="0"/>
        <w:autoSpaceDN w:val="0"/>
        <w:adjustRightInd w:val="0"/>
        <w:spacing w:after="0" w:line="240" w:lineRule="auto"/>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Usman, 2005. </w:t>
      </w:r>
      <w:r>
        <w:rPr>
          <w:rFonts w:ascii="Times New Roman" w:hAnsi="Times New Roman" w:cs="Times New Roman"/>
          <w:bCs/>
          <w:color w:val="000000"/>
          <w:sz w:val="24"/>
          <w:szCs w:val="24"/>
        </w:rPr>
        <w:t>Analisis Keuangan Daerah Melalui Pendekatan Pendapatan Asli Daerah Aceh Besar</w:t>
      </w:r>
      <w:r>
        <w:rPr>
          <w:rFonts w:ascii="Times New Roman" w:hAnsi="Times New Roman" w:cs="Times New Roman"/>
          <w:color w:val="000000"/>
          <w:sz w:val="24"/>
          <w:szCs w:val="24"/>
        </w:rPr>
        <w:t xml:space="preserve">. Jurnal EKBIS, Vol XI No. 2.  </w:t>
      </w:r>
    </w:p>
    <w:p>
      <w:p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color w:val="000000"/>
          <w:sz w:val="24"/>
          <w:szCs w:val="24"/>
        </w:rPr>
        <w:t xml:space="preserve">Zamzami, 2017. </w:t>
      </w:r>
      <w:r>
        <w:rPr>
          <w:rFonts w:ascii="Times New Roman" w:hAnsi="Times New Roman" w:cs="Times New Roman"/>
          <w:bCs/>
          <w:color w:val="000000"/>
          <w:sz w:val="24"/>
          <w:szCs w:val="24"/>
        </w:rPr>
        <w:t>Pengaruh Penerimaan Pajak Penerangan Jalan, Pajak Reklame, Retribusi Daerah Dan Laba BUMD Terhadap Pendapatan Asli Daerah Kabupaten Pidie</w:t>
      </w:r>
      <w:r>
        <w:rPr>
          <w:rFonts w:ascii="Times New Roman" w:hAnsi="Times New Roman" w:cs="Times New Roman"/>
          <w:color w:val="000000"/>
          <w:sz w:val="24"/>
          <w:szCs w:val="24"/>
        </w:rPr>
        <w:t xml:space="preserve">. Jurnal Ekonomi Dan Bisnis vol 2, halaman 35 – 38. </w:t>
      </w:r>
    </w:p>
    <w:sectPr>
      <w:headerReference r:id="rId5" w:type="default"/>
      <w:footerReference r:id="rId6" w:type="default"/>
      <w:pgSz w:w="11906" w:h="16838"/>
      <w:pgMar w:top="1440" w:right="1440" w:bottom="1440" w:left="1440" w:header="708" w:footer="886" w:gutter="0"/>
      <w:pgNumType w:start="45"/>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Wingdings">
    <w:altName w:val="Andale Mono"/>
    <w:panose1 w:val="05000000000000000000"/>
    <w:charset w:val="00"/>
    <w:family w:val="auto"/>
    <w:pitch w:val="default"/>
    <w:sig w:usb0="00000000" w:usb1="10000000" w:usb2="00000000" w:usb3="00000000" w:csb0="80000000" w:csb1="00000000"/>
  </w:font>
  <w:font w:name="Calibri">
    <w:altName w:val="Trebuchet MS"/>
    <w:panose1 w:val="020F0502020204030204"/>
    <w:charset w:val="86"/>
    <w:family w:val="swiss"/>
    <w:pitch w:val="default"/>
    <w:sig w:usb0="00000000" w:usb1="00000000" w:usb2="00000001" w:usb3="00000000" w:csb0="0000019F" w:csb1="00000000"/>
  </w:font>
  <w:font w:name="SimSun">
    <w:altName w:val="Droid Sans Fallback"/>
    <w:panose1 w:val="02010600030101010101"/>
    <w:charset w:val="86"/>
    <w:family w:val="auto"/>
    <w:pitch w:val="default"/>
    <w:sig w:usb0="00000000" w:usb1="00000000" w:usb2="00000016" w:usb3="00000000" w:csb0="00040001" w:csb1="00000000"/>
  </w:font>
  <w:font w:name="Calibri">
    <w:altName w:val="Trebuchet MS"/>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Arial Black">
    <w:panose1 w:val="020B0A04020102020204"/>
    <w:charset w:val="00"/>
    <w:family w:val="auto"/>
    <w:pitch w:val="default"/>
    <w:sig w:usb0="00000287" w:usb1="00000000" w:usb2="00000000" w:usb3="00000000" w:csb0="2000009F" w:csb1="DFD70000"/>
  </w:font>
  <w:font w:name="Microsoft YaHei">
    <w:altName w:val="Droid Sans Fallbac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Droid Sans Fallback">
    <w:panose1 w:val="020B0502000000000001"/>
    <w:charset w:val="86"/>
    <w:family w:val="auto"/>
    <w:pitch w:val="default"/>
    <w:sig w:usb0="910002FF" w:usb1="2BDFFCFB" w:usb2="00000036" w:usb3="00000000" w:csb0="203F01FF" w:csb1="D7FF0000"/>
  </w:font>
  <w:font w:name="Andale Mono">
    <w:panose1 w:val="020B0509000000000004"/>
    <w:charset w:val="00"/>
    <w:family w:val="auto"/>
    <w:pitch w:val="default"/>
    <w:sig w:usb0="00000287" w:usb1="00000000" w:usb2="00000000" w:usb3="00000000" w:csb0="600000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74943596"/>
      <w:docPartObj>
        <w:docPartGallery w:val="AutoText"/>
      </w:docPartObj>
    </w:sdtPr>
    <w:sdtContent>
      <w:p>
        <w:pPr>
          <w:pStyle w:val="4"/>
          <w:jc w:val="right"/>
        </w:pPr>
        <w:r>
          <w:fldChar w:fldCharType="begin"/>
        </w:r>
        <w:r>
          <w:instrText xml:space="preserve"> PAGE   \* MERGEFORMAT </w:instrText>
        </w:r>
        <w:r>
          <w:fldChar w:fldCharType="separate"/>
        </w:r>
        <w:r>
          <w:t>55</w:t>
        </w:r>
        <w:r>
          <w:fldChar w:fldCharType="end"/>
        </w:r>
      </w:p>
    </w:sdtContent>
  </w:sdt>
  <w:p>
    <w:pPr>
      <w:pStyle w:val="4"/>
      <w:rPr>
        <w:rFonts w:ascii="Times New Roman" w:hAnsi="Times New Roman" w:cs="Times New Roman"/>
        <w:b/>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5686"/>
      <w:docPartObj>
        <w:docPartGallery w:val="AutoText"/>
      </w:docPartObj>
    </w:sdtPr>
    <w:sdtContent>
      <w:p>
        <w:pPr>
          <w:pStyle w:val="5"/>
        </w:pPr>
        <w:r>
          <w:rPr>
            <w:i/>
            <w:sz w:val="18"/>
            <w:szCs w:val="18"/>
          </w:rPr>
          <w:t>JURNAL SAMUDRA EKONOMIKA, VOL. 5, NO. 1  MARET 202</w:t>
        </w:r>
        <w:r>
          <w:rPr>
            <w:i/>
            <w:sz w:val="18"/>
            <w:szCs w:val="18"/>
            <w:lang w:val="zh-CN"/>
          </w:rPr>
          <w:t>1</w:t>
        </w:r>
        <w:r>
          <w:rPr>
            <w:i/>
            <w:sz w:val="18"/>
            <w:szCs w:val="18"/>
          </w:rPr>
          <w:t xml:space="preserve">                                                                                </w:t>
        </w:r>
        <w:r>
          <w:rPr>
            <w:sz w:val="18"/>
            <w:szCs w:val="18"/>
          </w:rPr>
          <w:t>P-ISSN 2549-4104                                                                                                                                                                                    E-ISSN 2685-4287</w:t>
        </w:r>
      </w:p>
    </w:sdtContent>
  </w:sdt>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501"/>
    <w:rsid w:val="000E6231"/>
    <w:rsid w:val="00170B35"/>
    <w:rsid w:val="002B4481"/>
    <w:rsid w:val="002D66EB"/>
    <w:rsid w:val="00324D48"/>
    <w:rsid w:val="003B20E5"/>
    <w:rsid w:val="003B4148"/>
    <w:rsid w:val="00413368"/>
    <w:rsid w:val="00421761"/>
    <w:rsid w:val="00437024"/>
    <w:rsid w:val="00514EA9"/>
    <w:rsid w:val="00583119"/>
    <w:rsid w:val="005B5128"/>
    <w:rsid w:val="005C197D"/>
    <w:rsid w:val="005F3760"/>
    <w:rsid w:val="006F0DDF"/>
    <w:rsid w:val="0073151E"/>
    <w:rsid w:val="00733E42"/>
    <w:rsid w:val="00760B9E"/>
    <w:rsid w:val="00771357"/>
    <w:rsid w:val="007849E3"/>
    <w:rsid w:val="00795669"/>
    <w:rsid w:val="007D59E8"/>
    <w:rsid w:val="00810109"/>
    <w:rsid w:val="008A0206"/>
    <w:rsid w:val="008A7D7F"/>
    <w:rsid w:val="008E51CF"/>
    <w:rsid w:val="009133D0"/>
    <w:rsid w:val="00930836"/>
    <w:rsid w:val="009728DC"/>
    <w:rsid w:val="00985B19"/>
    <w:rsid w:val="00987501"/>
    <w:rsid w:val="009D1915"/>
    <w:rsid w:val="00A80DE0"/>
    <w:rsid w:val="00A818D1"/>
    <w:rsid w:val="00AC7C3B"/>
    <w:rsid w:val="00B247EC"/>
    <w:rsid w:val="00B44C57"/>
    <w:rsid w:val="00B5473D"/>
    <w:rsid w:val="00BB713B"/>
    <w:rsid w:val="00BC4B6F"/>
    <w:rsid w:val="00BC607C"/>
    <w:rsid w:val="00C100E6"/>
    <w:rsid w:val="00C12602"/>
    <w:rsid w:val="00CA642C"/>
    <w:rsid w:val="00CC7EAD"/>
    <w:rsid w:val="00D12E87"/>
    <w:rsid w:val="00D444A6"/>
    <w:rsid w:val="00D652A3"/>
    <w:rsid w:val="00E31322"/>
    <w:rsid w:val="00ED2A67"/>
    <w:rsid w:val="00F3345A"/>
    <w:rsid w:val="00F431B9"/>
    <w:rsid w:val="00F51AB6"/>
    <w:rsid w:val="00F76E0D"/>
    <w:rsid w:val="00FD53B3"/>
    <w:rsid w:val="7F7D58EC"/>
    <w:rsid w:val="9D4B5CFF"/>
    <w:rsid w:val="AAEBE260"/>
    <w:rsid w:val="BA7B23C6"/>
    <w:rsid w:val="FE734873"/>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id-ID"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10"/>
    <w:unhideWhenUsed/>
    <w:uiPriority w:val="99"/>
    <w:pPr>
      <w:tabs>
        <w:tab w:val="center" w:pos="4513"/>
        <w:tab w:val="right" w:pos="9026"/>
      </w:tabs>
      <w:spacing w:after="0" w:line="240" w:lineRule="auto"/>
    </w:pPr>
  </w:style>
  <w:style w:type="paragraph" w:styleId="5">
    <w:name w:val="header"/>
    <w:basedOn w:val="1"/>
    <w:link w:val="9"/>
    <w:unhideWhenUsed/>
    <w:uiPriority w:val="99"/>
    <w:pPr>
      <w:tabs>
        <w:tab w:val="center" w:pos="4513"/>
        <w:tab w:val="right" w:pos="9026"/>
      </w:tabs>
      <w:spacing w:after="0" w:line="240" w:lineRule="auto"/>
    </w:pPr>
  </w:style>
  <w:style w:type="paragraph" w:styleId="6">
    <w:name w:val="HTML Preformatted"/>
    <w:basedOn w:val="1"/>
    <w:link w:val="1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7">
    <w:name w:val="Hyperlink"/>
    <w:basedOn w:val="2"/>
    <w:unhideWhenUsed/>
    <w:qFormat/>
    <w:uiPriority w:val="99"/>
    <w:rPr>
      <w:color w:val="0000FF" w:themeColor="hyperlink"/>
      <w:u w:val="single"/>
      <w14:textFill>
        <w14:solidFill>
          <w14:schemeClr w14:val="hlink"/>
        </w14:solidFill>
      </w14:textFill>
    </w:rPr>
  </w:style>
  <w:style w:type="table" w:styleId="8">
    <w:name w:val="Table Grid"/>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Header Char"/>
    <w:basedOn w:val="2"/>
    <w:link w:val="5"/>
    <w:uiPriority w:val="99"/>
  </w:style>
  <w:style w:type="character" w:customStyle="1" w:styleId="10">
    <w:name w:val="Footer Char"/>
    <w:basedOn w:val="2"/>
    <w:link w:val="4"/>
    <w:uiPriority w:val="99"/>
  </w:style>
  <w:style w:type="character" w:customStyle="1" w:styleId="11">
    <w:name w:val="HTML Preformatted Char"/>
    <w:basedOn w:val="2"/>
    <w:link w:val="6"/>
    <w:semiHidden/>
    <w:qFormat/>
    <w:uiPriority w:val="99"/>
    <w:rPr>
      <w:rFonts w:ascii="Courier New" w:hAnsi="Courier New" w:eastAsia="Times New Roman" w:cs="Courier New"/>
      <w:sz w:val="20"/>
      <w:szCs w:val="20"/>
      <w:lang w:eastAsia="id-I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1</Pages>
  <Words>5190</Words>
  <Characters>29587</Characters>
  <Lines>246</Lines>
  <Paragraphs>69</Paragraphs>
  <TotalTime>17</TotalTime>
  <ScaleCrop>false</ScaleCrop>
  <LinksUpToDate>false</LinksUpToDate>
  <CharactersWithSpaces>34708</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2021-04-16T18:53:00Z</dcterms:created>
  <dc:creator>syardiansah</dc:creator>
  <cp:lastModifiedBy>achyar</cp:lastModifiedBy>
  <dcterms:modified xsi:type="dcterms:W3CDTF">2021-04-20T11:48:06Z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1033-11.1.0.10161</vt:lpwstr>
  </property>
</Properties>
</file>